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石家庄市交通运输领域涉企行政检查事项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outlineLvl w:val="9"/>
        <w:rPr>
          <w:rFonts w:hint="eastAsia"/>
          <w:sz w:val="32"/>
          <w:szCs w:val="32"/>
          <w:lang w:eastAsia="zh-CN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检查频次上限</w:t>
      </w:r>
    </w:p>
    <w:bookmarkEnd w:id="0"/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年度检查频次上限：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公路建设工程类企业8次，公路建设市场类企业4次，公路养护工程类企业4次，公路养护市场类企业4次，公路水运工程检测机构3次，道路运输类企业4次，出租汽车类企业4次，网约车类企业4次，城市公共汽车类企业4次，汽车租赁类企业4次，工程招标投标类项目3次。法律法规规章和上级政策另有规定的除外。</w:t>
      </w:r>
    </w:p>
    <w:p>
      <w:pPr>
        <w:rPr>
          <w:rFonts w:hint="eastAsia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BB661C"/>
    <w:rsid w:val="1025703E"/>
    <w:rsid w:val="1BE01F7C"/>
    <w:rsid w:val="44210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27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wxb</cp:lastModifiedBy>
  <dcterms:modified xsi:type="dcterms:W3CDTF">2026-06-24T08:31:03Z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7C0FBF135E8A4ACD92F701E95CF805E3</vt:lpwstr>
  </property>
</Properties>
</file>