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87E122">
      <w:pPr>
        <w:adjustRightInd w:val="0"/>
        <w:snapToGrid w:val="0"/>
        <w:spacing w:line="560" w:lineRule="exact"/>
        <w:rPr>
          <w:rFonts w:hint="eastAsia" w:ascii="黑体" w:hAnsi="黑体" w:eastAsia="黑体" w:cs="黑体"/>
          <w:sz w:val="32"/>
          <w:szCs w:val="32"/>
        </w:rPr>
      </w:pPr>
      <w:r>
        <w:rPr>
          <w:rFonts w:hint="eastAsia" w:ascii="黑体" w:hAnsi="黑体" w:eastAsia="黑体" w:cs="黑体"/>
          <w:sz w:val="32"/>
          <w:szCs w:val="32"/>
        </w:rPr>
        <w:t>附件3</w:t>
      </w:r>
    </w:p>
    <w:p w14:paraId="1319007A">
      <w:pPr>
        <w:spacing w:line="560" w:lineRule="exact"/>
        <w:jc w:val="center"/>
        <w:rPr>
          <w:rFonts w:ascii="宋体" w:hAnsi="宋体" w:cs="宋体"/>
          <w:sz w:val="32"/>
          <w:szCs w:val="32"/>
        </w:rPr>
      </w:pPr>
      <w:r>
        <w:rPr>
          <w:rFonts w:hint="eastAsia" w:ascii="宋体" w:hAnsi="宋体" w:cs="宋体"/>
          <w:b/>
          <w:bCs/>
          <w:sz w:val="44"/>
          <w:szCs w:val="44"/>
        </w:rPr>
        <w:t>石家庄市省道S334白古线K8+470至K30+550段水毁重建工程项目自评报告</w:t>
      </w:r>
    </w:p>
    <w:p w14:paraId="0B3C6F75">
      <w:pPr>
        <w:spacing w:line="560" w:lineRule="exact"/>
        <w:jc w:val="center"/>
        <w:rPr>
          <w:rFonts w:ascii="华文楷体" w:eastAsia="华文楷体"/>
          <w:sz w:val="32"/>
          <w:szCs w:val="32"/>
        </w:rPr>
      </w:pPr>
    </w:p>
    <w:p w14:paraId="292C57C1">
      <w:pPr>
        <w:adjustRightInd w:val="0"/>
        <w:snapToGrid w:val="0"/>
        <w:spacing w:line="560" w:lineRule="exact"/>
        <w:ind w:firstLine="640" w:firstLineChars="200"/>
        <w:rPr>
          <w:rFonts w:ascii="仿宋" w:hAnsi="仿宋" w:eastAsia="仿宋"/>
          <w:sz w:val="32"/>
          <w:szCs w:val="32"/>
        </w:rPr>
      </w:pPr>
      <w:r>
        <w:rPr>
          <w:rFonts w:hint="eastAsia" w:ascii="仿宋" w:hAnsi="仿宋" w:eastAsia="仿宋"/>
          <w:sz w:val="32"/>
          <w:szCs w:val="32"/>
        </w:rPr>
        <w:t>根据《石家庄市市级部门项目绩效自评管理办法》（石财绩〔2020〕5号），</w:t>
      </w:r>
      <w:r>
        <w:rPr>
          <w:rFonts w:hint="eastAsia" w:ascii="仿宋" w:hAnsi="仿宋" w:eastAsia="仿宋" w:cs="仿宋"/>
          <w:sz w:val="32"/>
          <w:szCs w:val="32"/>
        </w:rPr>
        <w:t>遵循全面覆盖、程序简便、客观公正、公开透明的原则</w:t>
      </w:r>
      <w:r>
        <w:rPr>
          <w:rFonts w:hint="eastAsia" w:ascii="仿宋" w:hAnsi="仿宋" w:eastAsia="仿宋"/>
          <w:sz w:val="32"/>
          <w:szCs w:val="32"/>
        </w:rPr>
        <w:t>，对石家庄市省道S334白古线K8+470至K30+550段水毁重建工程项目实施了财政绩效自评价，形成本评价报告。</w:t>
      </w:r>
    </w:p>
    <w:p w14:paraId="1E5B317C">
      <w:pPr>
        <w:adjustRightInd w:val="0"/>
        <w:snapToGrid w:val="0"/>
        <w:spacing w:line="560" w:lineRule="exact"/>
        <w:ind w:firstLine="640" w:firstLineChars="200"/>
        <w:rPr>
          <w:rFonts w:ascii="黑体" w:hAnsi="黑体" w:eastAsia="黑体"/>
          <w:b/>
          <w:bCs/>
          <w:sz w:val="32"/>
          <w:szCs w:val="36"/>
        </w:rPr>
      </w:pPr>
      <w:r>
        <w:rPr>
          <w:rFonts w:hint="eastAsia" w:ascii="黑体" w:hAnsi="黑体" w:eastAsia="黑体"/>
          <w:sz w:val="32"/>
          <w:szCs w:val="32"/>
        </w:rPr>
        <w:t>一、项目</w:t>
      </w:r>
      <w:r>
        <w:rPr>
          <w:rFonts w:hint="eastAsia" w:ascii="黑体" w:hAnsi="黑体" w:eastAsia="黑体"/>
          <w:sz w:val="32"/>
          <w:szCs w:val="36"/>
        </w:rPr>
        <w:t>基本情况</w:t>
      </w:r>
    </w:p>
    <w:p w14:paraId="32F783CB">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（一）项目概况</w:t>
      </w:r>
    </w:p>
    <w:p w14:paraId="6E5AB885">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1</w:t>
      </w:r>
      <w:r>
        <w:rPr>
          <w:rFonts w:hint="eastAsia" w:ascii="仿宋" w:hAnsi="仿宋" w:eastAsia="仿宋"/>
          <w:sz w:val="32"/>
          <w:szCs w:val="32"/>
          <w:lang w:val="en-US" w:eastAsia="zh-CN"/>
        </w:rPr>
        <w:t>.</w:t>
      </w:r>
      <w:r>
        <w:rPr>
          <w:rFonts w:hint="eastAsia" w:ascii="仿宋" w:hAnsi="仿宋" w:eastAsia="仿宋"/>
          <w:sz w:val="32"/>
          <w:szCs w:val="32"/>
        </w:rPr>
        <w:t>项目实施单位及项目立项等基本情况；</w:t>
      </w:r>
    </w:p>
    <w:p w14:paraId="5B36171B">
      <w:p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项目实施单位为石家庄市公路服务保障中心，</w:t>
      </w:r>
    </w:p>
    <w:p w14:paraId="2EA8CC60">
      <w:pPr>
        <w:adjustRightInd w:val="0"/>
        <w:snapToGrid w:val="0"/>
        <w:spacing w:line="560" w:lineRule="exact"/>
        <w:ind w:firstLine="800" w:firstLineChars="250"/>
        <w:rPr>
          <w:rFonts w:hint="eastAsia" w:ascii="仿宋" w:hAnsi="仿宋" w:eastAsia="仿宋"/>
          <w:sz w:val="32"/>
          <w:szCs w:val="32"/>
          <w:lang w:eastAsia="zh-CN"/>
        </w:rPr>
      </w:pPr>
      <w:r>
        <w:rPr>
          <w:rFonts w:hint="eastAsia" w:ascii="仿宋" w:hAnsi="仿宋" w:eastAsia="仿宋"/>
          <w:sz w:val="32"/>
          <w:szCs w:val="32"/>
        </w:rPr>
        <w:t>方案批复文件为：河北省公路事业发展中心《关于石家庄市省道S334白古线K8+470至K30+550段水毁重建工程</w:t>
      </w:r>
      <w:r>
        <w:rPr>
          <w:rFonts w:hint="eastAsia" w:ascii="仿宋" w:hAnsi="仿宋" w:eastAsia="仿宋"/>
          <w:sz w:val="32"/>
          <w:szCs w:val="32"/>
          <w:lang w:eastAsia="zh-CN"/>
        </w:rPr>
        <w:t>方案的批复》（冀公路〔2023〕</w:t>
      </w:r>
      <w:r>
        <w:rPr>
          <w:rFonts w:hint="eastAsia" w:ascii="仿宋" w:hAnsi="仿宋" w:eastAsia="仿宋"/>
          <w:sz w:val="32"/>
          <w:szCs w:val="32"/>
          <w:lang w:val="en-US" w:eastAsia="zh-CN"/>
        </w:rPr>
        <w:t>291</w:t>
      </w:r>
      <w:r>
        <w:rPr>
          <w:rFonts w:hint="eastAsia" w:ascii="仿宋" w:hAnsi="仿宋" w:eastAsia="仿宋"/>
          <w:sz w:val="32"/>
          <w:szCs w:val="32"/>
          <w:lang w:eastAsia="zh-CN"/>
        </w:rPr>
        <w:t>号）；施工图批复文件为：河北省公路事业发展中心《关于石家庄市省道S201正南线等10条路线水毁重建工程施工图设计文件的批复》（冀公路〔2023〕342号）。</w:t>
      </w:r>
    </w:p>
    <w:p w14:paraId="16097690">
      <w:pPr>
        <w:numPr>
          <w:ilvl w:val="0"/>
          <w:numId w:val="1"/>
        </w:numPr>
        <w:adjustRightInd w:val="0"/>
        <w:snapToGrid w:val="0"/>
        <w:spacing w:line="560" w:lineRule="exact"/>
        <w:ind w:firstLine="800" w:firstLineChars="250"/>
        <w:rPr>
          <w:rFonts w:hint="eastAsia" w:ascii="仿宋" w:hAnsi="仿宋" w:eastAsia="仿宋"/>
          <w:sz w:val="32"/>
          <w:szCs w:val="32"/>
        </w:rPr>
      </w:pPr>
      <w:r>
        <w:rPr>
          <w:rFonts w:hint="eastAsia" w:ascii="仿宋" w:hAnsi="仿宋" w:eastAsia="仿宋"/>
          <w:sz w:val="32"/>
          <w:szCs w:val="32"/>
        </w:rPr>
        <w:t>项目主要实施内容和范围；</w:t>
      </w:r>
    </w:p>
    <w:p w14:paraId="68D766B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省道S334白古线K8+470至K30+550段，位于井陉县境内,二级公路,路基宽10.5米</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12米，路面宽10米</w:t>
      </w:r>
      <w:r>
        <w:rPr>
          <w:rFonts w:hint="eastAsia" w:ascii="仿宋" w:hAnsi="仿宋" w:eastAsia="仿宋" w:cs="Times New Roman"/>
          <w:color w:val="000000"/>
          <w:sz w:val="32"/>
          <w:szCs w:val="32"/>
          <w:highlight w:val="none"/>
          <w:lang w:eastAsia="zh-CN"/>
        </w:rPr>
        <w:t>-</w:t>
      </w:r>
      <w:r>
        <w:rPr>
          <w:rFonts w:hint="eastAsia" w:ascii="仿宋" w:hAnsi="仿宋" w:eastAsia="仿宋" w:cs="Times New Roman"/>
          <w:color w:val="000000"/>
          <w:sz w:val="32"/>
          <w:szCs w:val="32"/>
          <w:highlight w:val="none"/>
        </w:rPr>
        <w:t>11.5米,沥青混凝土路面。受强降雨影响,造成部分路基冲毁,路肩墙、路堤墙、护栏、边坡、涵洞、路肩冲毁。水毁路段总长度4.239公里。</w:t>
      </w:r>
    </w:p>
    <w:p w14:paraId="08542E7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eastAsia" w:ascii="仿宋" w:hAnsi="仿宋" w:eastAsia="仿宋" w:cs="Times New Roman"/>
          <w:color w:val="000000"/>
          <w:sz w:val="32"/>
          <w:szCs w:val="32"/>
          <w:highlight w:val="none"/>
        </w:rPr>
      </w:pPr>
      <w:r>
        <w:rPr>
          <w:rFonts w:hint="eastAsia" w:ascii="仿宋" w:hAnsi="仿宋" w:eastAsia="仿宋" w:cs="Times New Roman"/>
          <w:color w:val="000000"/>
          <w:sz w:val="32"/>
          <w:szCs w:val="32"/>
          <w:highlight w:val="none"/>
        </w:rPr>
        <w:t>主要工程内容为重建路基路面、路肩墙、路堤墙、护栏、护坡、涵洞、土路肩,增设路堤墙,路面重建方案为:2X18厘米水泥稳定碎石基层+5厘米中粒式沥青混凝土+4厘米细粒式沥青混凝土。</w:t>
      </w:r>
    </w:p>
    <w:p w14:paraId="39E3DBF6">
      <w:pPr>
        <w:numPr>
          <w:ilvl w:val="0"/>
          <w:numId w:val="1"/>
        </w:numPr>
        <w:adjustRightInd w:val="0"/>
        <w:snapToGrid w:val="0"/>
        <w:spacing w:line="560" w:lineRule="exact"/>
        <w:ind w:left="0" w:leftChars="0" w:firstLine="800" w:firstLineChars="250"/>
        <w:rPr>
          <w:rFonts w:hint="eastAsia" w:ascii="仿宋" w:hAnsi="仿宋" w:eastAsia="仿宋"/>
          <w:sz w:val="32"/>
          <w:szCs w:val="32"/>
        </w:rPr>
      </w:pPr>
      <w:r>
        <w:rPr>
          <w:rFonts w:hint="eastAsia" w:ascii="仿宋" w:hAnsi="仿宋" w:eastAsia="仿宋"/>
          <w:sz w:val="32"/>
          <w:szCs w:val="32"/>
        </w:rPr>
        <w:t>项目资金投入情况（资金数量、资金结构、资金来源渠道等）。</w:t>
      </w:r>
    </w:p>
    <w:p w14:paraId="0195335C">
      <w:pPr>
        <w:adjustRightInd w:val="0"/>
        <w:snapToGrid w:val="0"/>
        <w:spacing w:line="560" w:lineRule="exact"/>
        <w:ind w:firstLine="640" w:firstLineChars="200"/>
        <w:rPr>
          <w:rFonts w:hint="eastAsia" w:ascii="仿宋" w:hAnsi="仿宋" w:eastAsia="仿宋"/>
          <w:sz w:val="32"/>
          <w:szCs w:val="32"/>
        </w:rPr>
      </w:pPr>
      <w:r>
        <w:rPr>
          <w:rFonts w:hint="eastAsia" w:ascii="仿宋" w:hAnsi="仿宋" w:eastAsia="仿宋"/>
          <w:sz w:val="32"/>
          <w:szCs w:val="32"/>
        </w:rPr>
        <w:t>本项目</w:t>
      </w:r>
      <w:r>
        <w:rPr>
          <w:rFonts w:hint="eastAsia" w:ascii="仿宋" w:hAnsi="仿宋" w:eastAsia="仿宋"/>
          <w:sz w:val="32"/>
          <w:szCs w:val="32"/>
          <w:lang w:eastAsia="zh-CN"/>
        </w:rPr>
        <w:t>总预算</w:t>
      </w:r>
      <w:r>
        <w:rPr>
          <w:rFonts w:hint="eastAsia" w:ascii="仿宋" w:hAnsi="仿宋" w:eastAsia="仿宋"/>
          <w:sz w:val="32"/>
          <w:szCs w:val="32"/>
        </w:rPr>
        <w:t>资金8406万元，资金来源分别为石财预〔2024〕6号6724万元、冀财建〔2024〕162号456万元、冀财建〔2023〕188号1226万元，项目已完工。已完成计划资金支付6962.49万元其中由石财预〔2024〕6号支付5736.49万元、冀财建〔2023〕188号支付1226万元，因评估评审未完成，故</w:t>
      </w:r>
      <w:r>
        <w:rPr>
          <w:rFonts w:hint="eastAsia" w:ascii="仿宋" w:hAnsi="仿宋" w:eastAsia="仿宋"/>
          <w:sz w:val="32"/>
          <w:szCs w:val="32"/>
          <w:lang w:eastAsia="zh-CN"/>
        </w:rPr>
        <w:t>总</w:t>
      </w:r>
      <w:r>
        <w:rPr>
          <w:rFonts w:hint="eastAsia" w:ascii="仿宋" w:hAnsi="仿宋" w:eastAsia="仿宋"/>
          <w:sz w:val="32"/>
          <w:szCs w:val="32"/>
        </w:rPr>
        <w:t>预算执行率为82.82%。</w:t>
      </w:r>
    </w:p>
    <w:p w14:paraId="5FD076D1">
      <w:pPr>
        <w:adjustRightInd w:val="0"/>
        <w:snapToGrid w:val="0"/>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（二）项目预期绩效目标</w:t>
      </w:r>
    </w:p>
    <w:p w14:paraId="5513BB7D">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项目预期绩效总目标为通过该工程实施，</w:t>
      </w:r>
      <w:r>
        <w:rPr>
          <w:rFonts w:hint="eastAsia" w:ascii="仿宋" w:hAnsi="仿宋" w:eastAsia="仿宋"/>
          <w:color w:val="000000" w:themeColor="text1"/>
          <w:sz w:val="32"/>
          <w:szCs w:val="32"/>
          <w:lang w:eastAsia="zh-CN"/>
          <w14:textFill>
            <w14:solidFill>
              <w14:schemeClr w14:val="tx1"/>
            </w14:solidFill>
          </w14:textFill>
        </w:rPr>
        <w:t>完成水毁恢复工作，</w:t>
      </w:r>
      <w:r>
        <w:rPr>
          <w:rFonts w:hint="eastAsia" w:ascii="仿宋" w:hAnsi="仿宋" w:eastAsia="仿宋"/>
          <w:color w:val="000000" w:themeColor="text1"/>
          <w:sz w:val="32"/>
          <w:szCs w:val="32"/>
          <w14:textFill>
            <w14:solidFill>
              <w14:schemeClr w14:val="tx1"/>
            </w14:solidFill>
          </w14:textFill>
        </w:rPr>
        <w:t>提升公共服务水平。</w:t>
      </w:r>
    </w:p>
    <w:p w14:paraId="6993D083">
      <w:pPr>
        <w:adjustRightInd w:val="0"/>
        <w:snapToGrid w:val="0"/>
        <w:spacing w:line="560" w:lineRule="exact"/>
        <w:ind w:firstLine="640" w:firstLineChars="200"/>
        <w:rPr>
          <w:rFonts w:hint="eastAsia" w:ascii="仿宋" w:hAnsi="仿宋" w:eastAsia="仿宋"/>
          <w:color w:val="000000" w:themeColor="text1"/>
          <w:sz w:val="32"/>
          <w:szCs w:val="32"/>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阶段性（当年）的绩效目标和指标为完成石家庄市省道S334白古线K8+470至K30+550段水毁重建工程，完成养护工程质量达到合格水平，实际成本不高于计划数</w:t>
      </w:r>
      <w:r>
        <w:rPr>
          <w:rFonts w:hint="eastAsia" w:ascii="仿宋" w:hAnsi="仿宋" w:eastAsia="仿宋"/>
          <w:color w:val="000000" w:themeColor="text1"/>
          <w:sz w:val="32"/>
          <w:szCs w:val="32"/>
          <w:lang w:val="en-US" w:eastAsia="zh-CN"/>
          <w14:textFill>
            <w14:solidFill>
              <w14:schemeClr w14:val="tx1"/>
            </w14:solidFill>
          </w14:textFill>
        </w:rPr>
        <w:t>8406</w:t>
      </w:r>
      <w:r>
        <w:rPr>
          <w:rFonts w:hint="eastAsia" w:ascii="仿宋" w:hAnsi="仿宋" w:eastAsia="仿宋"/>
          <w:color w:val="000000" w:themeColor="text1"/>
          <w:sz w:val="32"/>
          <w:szCs w:val="32"/>
          <w14:textFill>
            <w14:solidFill>
              <w14:schemeClr w14:val="tx1"/>
            </w14:solidFill>
          </w14:textFill>
        </w:rPr>
        <w:t>万元，对经济发展起到促进作用，提升基本公共服务水平，社会公众和服务对象司乘人员等满意度达到90%以上。</w:t>
      </w:r>
    </w:p>
    <w:p w14:paraId="56957DFF">
      <w:pPr>
        <w:adjustRightInd w:val="0"/>
        <w:snapToGrid w:val="0"/>
        <w:spacing w:line="560" w:lineRule="exact"/>
        <w:ind w:firstLine="640" w:firstLineChars="200"/>
        <w:rPr>
          <w:rFonts w:ascii="黑体" w:hAnsi="黑体" w:eastAsia="黑体"/>
          <w:sz w:val="32"/>
          <w:szCs w:val="32"/>
        </w:rPr>
      </w:pPr>
      <w:r>
        <w:rPr>
          <w:rFonts w:hint="eastAsia" w:ascii="黑体" w:hAnsi="黑体" w:eastAsia="黑体"/>
          <w:sz w:val="32"/>
          <w:szCs w:val="32"/>
        </w:rPr>
        <w:t>二、自评工作情况</w:t>
      </w:r>
    </w:p>
    <w:p w14:paraId="0C6F57FB">
      <w:pPr>
        <w:adjustRightInd w:val="0"/>
        <w:snapToGrid w:val="0"/>
        <w:spacing w:line="560" w:lineRule="exact"/>
        <w:ind w:firstLine="627" w:firstLineChars="196"/>
        <w:rPr>
          <w:rFonts w:ascii="仿宋" w:hAnsi="仿宋" w:eastAsia="仿宋" w:cs="楷体_GB2312"/>
          <w:sz w:val="32"/>
          <w:szCs w:val="32"/>
        </w:rPr>
      </w:pPr>
      <w:r>
        <w:rPr>
          <w:rFonts w:hint="eastAsia" w:ascii="楷体" w:hAnsi="楷体" w:eastAsia="楷体" w:cs="楷体_GB2312"/>
          <w:bCs/>
          <w:sz w:val="32"/>
          <w:szCs w:val="32"/>
        </w:rPr>
        <w:t>（一）自评的组织工作</w:t>
      </w:r>
    </w:p>
    <w:p w14:paraId="29EB7F1F">
      <w:pPr>
        <w:spacing w:line="560" w:lineRule="exact"/>
        <w:rPr>
          <w:rFonts w:hint="eastAsia" w:ascii="仿宋" w:hAnsi="仿宋" w:eastAsia="仿宋"/>
          <w:sz w:val="32"/>
          <w:szCs w:val="32"/>
        </w:rPr>
      </w:pPr>
      <w:r>
        <w:rPr>
          <w:rFonts w:hint="eastAsia" w:ascii="仿宋" w:hAnsi="仿宋" w:eastAsia="仿宋"/>
          <w:sz w:val="32"/>
          <w:szCs w:val="32"/>
        </w:rPr>
        <w:t xml:space="preserve">    按照绩效评价有关文件要求，我单位组织了工程科、养护科、财务科等有关人员,对2024年普通国省干线公路建设养护发展专项资金（安全提升及排水整治工程）项目资金进行梳理，确定绩效自评负责人，并按照相关要求对逐个项目进行自评，确保自评结果准确、客观，各相关科室沟通协作共同完成绩效自评工作。</w:t>
      </w:r>
    </w:p>
    <w:p w14:paraId="6FDF7606">
      <w:pPr>
        <w:numPr>
          <w:ilvl w:val="0"/>
          <w:numId w:val="2"/>
        </w:numPr>
        <w:adjustRightInd w:val="0"/>
        <w:snapToGrid w:val="0"/>
        <w:spacing w:line="560" w:lineRule="exact"/>
        <w:ind w:firstLine="640" w:firstLineChars="200"/>
        <w:rPr>
          <w:rFonts w:hint="default" w:ascii="楷体" w:hAnsi="楷体" w:eastAsia="楷体" w:cs="楷体_GB2312"/>
          <w:bCs/>
          <w:sz w:val="32"/>
          <w:szCs w:val="32"/>
          <w:lang w:val="en-US" w:eastAsia="zh-CN"/>
        </w:rPr>
      </w:pPr>
      <w:r>
        <w:rPr>
          <w:rFonts w:hint="eastAsia" w:ascii="楷体" w:hAnsi="楷体" w:eastAsia="楷体" w:cs="楷体_GB2312"/>
          <w:bCs/>
          <w:sz w:val="32"/>
          <w:szCs w:val="32"/>
        </w:rPr>
        <w:t>自评的方法和过程</w:t>
      </w:r>
    </w:p>
    <w:p w14:paraId="4197F809">
      <w:pPr>
        <w:adjustRightInd w:val="0"/>
        <w:snapToGrid w:val="0"/>
        <w:spacing w:line="560" w:lineRule="exact"/>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在评价实施过程中，我们首先明确了每个阶段应该收集的信息，然后，由有关人员根据项目进度收集信息，及时进行汇总、整理，并对照绩效指标监控项目的完成情况。对于没有及时完成预期设定绩效指标的，及时调整工作方向和工作方法，确保绩效指标的顺利实施。建立健全各项财务管理制度和资金管理办法。</w:t>
      </w:r>
    </w:p>
    <w:p w14:paraId="20C8029D">
      <w:pPr>
        <w:adjustRightInd w:val="0"/>
        <w:snapToGrid w:val="0"/>
        <w:spacing w:line="560" w:lineRule="exact"/>
        <w:ind w:firstLine="640" w:firstLineChars="200"/>
        <w:rPr>
          <w:rFonts w:hint="eastAsia" w:ascii="楷体" w:hAnsi="楷体" w:eastAsia="楷体" w:cs="楷体_GB2312"/>
          <w:bCs/>
          <w:sz w:val="32"/>
          <w:szCs w:val="32"/>
        </w:rPr>
      </w:pPr>
      <w:r>
        <w:rPr>
          <w:rFonts w:hint="eastAsia" w:ascii="仿宋" w:hAnsi="仿宋" w:eastAsia="仿宋"/>
          <w:sz w:val="32"/>
          <w:szCs w:val="32"/>
          <w:highlight w:val="none"/>
          <w:lang w:eastAsia="zh-CN"/>
        </w:rPr>
        <w:t>绩效评价实施过程：一是前期准备，按照绩效评价有关文件要求，为做好统一评价工作，分析自评报告要求，并赴现场收集有关资料。二是组织实施，对项目单位自评报告中的数据及相关情况进行审核、确认，调查走访项目周边群众及单位，严格按照文件要求，实事求是、客观公正地进行本次绩效评价统一评价工作。三是分析评价，各部门共同讨论、组织统一评价报告，严格按照文件要求，实事求是、客观公正地进行本次绩效评价工作。</w:t>
      </w:r>
    </w:p>
    <w:p w14:paraId="4818ACF4">
      <w:pPr>
        <w:adjustRightInd w:val="0"/>
        <w:snapToGrid w:val="0"/>
        <w:spacing w:line="560" w:lineRule="exact"/>
        <w:ind w:firstLine="640" w:firstLineChars="200"/>
        <w:rPr>
          <w:rFonts w:ascii="仿宋" w:hAnsi="仿宋" w:eastAsia="仿宋"/>
          <w:b/>
          <w:bCs/>
          <w:sz w:val="32"/>
          <w:szCs w:val="32"/>
        </w:rPr>
      </w:pPr>
      <w:r>
        <w:rPr>
          <w:rFonts w:hint="eastAsia" w:ascii="楷体" w:hAnsi="楷体" w:eastAsia="楷体" w:cs="楷体_GB2312"/>
          <w:bCs/>
          <w:sz w:val="32"/>
          <w:szCs w:val="32"/>
        </w:rPr>
        <w:t>（三）建立绩效评价指标体系</w:t>
      </w:r>
    </w:p>
    <w:p w14:paraId="0EF8C3B2">
      <w:pPr>
        <w:spacing w:line="560" w:lineRule="exact"/>
        <w:ind w:firstLine="640" w:firstLineChars="200"/>
        <w:rPr>
          <w:rFonts w:ascii="仿宋" w:hAnsi="仿宋" w:eastAsia="仿宋"/>
          <w:sz w:val="32"/>
          <w:szCs w:val="32"/>
        </w:rPr>
      </w:pPr>
      <w:r>
        <w:rPr>
          <w:rFonts w:hint="eastAsia" w:ascii="仿宋" w:hAnsi="仿宋" w:eastAsia="仿宋"/>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14:paraId="3D887177">
      <w:pPr>
        <w:spacing w:line="560" w:lineRule="exact"/>
        <w:ind w:firstLine="640" w:firstLineChars="200"/>
        <w:rPr>
          <w:rFonts w:ascii="仿宋" w:hAnsi="仿宋" w:eastAsia="仿宋"/>
          <w:sz w:val="32"/>
          <w:szCs w:val="32"/>
        </w:rPr>
      </w:pPr>
      <w:r>
        <w:rPr>
          <w:rFonts w:hint="eastAsia" w:ascii="仿宋" w:hAnsi="仿宋" w:eastAsia="仿宋"/>
          <w:sz w:val="32"/>
          <w:szCs w:val="32"/>
        </w:rPr>
        <w:t>二、三级指标所占权重应当根据指标重要程度、项目实施阶段等因素综合确定，准确反映预算项目的产出和效果。</w:t>
      </w:r>
    </w:p>
    <w:p w14:paraId="5B431C72">
      <w:pPr>
        <w:spacing w:line="560" w:lineRule="exact"/>
        <w:ind w:firstLine="640" w:firstLineChars="200"/>
        <w:rPr>
          <w:rFonts w:ascii="仿宋" w:hAnsi="仿宋" w:eastAsia="仿宋"/>
          <w:sz w:val="32"/>
          <w:szCs w:val="32"/>
        </w:rPr>
      </w:pPr>
      <w:r>
        <w:rPr>
          <w:rFonts w:hint="eastAsia" w:ascii="仿宋" w:hAnsi="仿宋" w:eastAsia="仿宋"/>
          <w:sz w:val="32"/>
          <w:szCs w:val="32"/>
        </w:rPr>
        <w:t>同类评价对象的指标权重设置应当基本一致，便于评价结果相互比较。</w:t>
      </w:r>
    </w:p>
    <w:p w14:paraId="5389E177">
      <w:pPr>
        <w:spacing w:line="560" w:lineRule="exact"/>
        <w:ind w:firstLine="640" w:firstLineChars="200"/>
        <w:rPr>
          <w:rFonts w:ascii="黑体" w:hAnsi="黑体" w:eastAsia="黑体"/>
          <w:b/>
          <w:bCs/>
          <w:sz w:val="32"/>
          <w:szCs w:val="32"/>
        </w:rPr>
      </w:pPr>
      <w:r>
        <w:rPr>
          <w:rFonts w:hint="eastAsia" w:ascii="黑体" w:hAnsi="黑体" w:eastAsia="黑体"/>
          <w:sz w:val="32"/>
          <w:szCs w:val="32"/>
        </w:rPr>
        <w:t>三、项目执行及绩效实现情况</w:t>
      </w:r>
    </w:p>
    <w:p w14:paraId="551CBCBC">
      <w:pPr>
        <w:numPr>
          <w:ilvl w:val="0"/>
          <w:numId w:val="3"/>
        </w:numPr>
        <w:spacing w:line="560" w:lineRule="exact"/>
        <w:ind w:firstLine="640" w:firstLineChars="200"/>
        <w:rPr>
          <w:rFonts w:ascii="楷体" w:hAnsi="楷体" w:eastAsia="楷体" w:cs="楷体_GB2312"/>
          <w:bCs/>
          <w:sz w:val="32"/>
          <w:szCs w:val="32"/>
        </w:rPr>
      </w:pPr>
      <w:r>
        <w:rPr>
          <w:rFonts w:hint="eastAsia" w:ascii="楷体" w:hAnsi="楷体" w:eastAsia="楷体" w:cs="楷体_GB2312"/>
          <w:bCs/>
          <w:sz w:val="32"/>
          <w:szCs w:val="32"/>
        </w:rPr>
        <w:t>预算执行情况</w:t>
      </w:r>
    </w:p>
    <w:p w14:paraId="1C3E5523">
      <w:pPr>
        <w:spacing w:line="560" w:lineRule="exact"/>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2024年</w:t>
      </w:r>
      <w:r>
        <w:rPr>
          <w:rFonts w:hint="eastAsia" w:ascii="仿宋" w:hAnsi="仿宋" w:eastAsia="仿宋"/>
          <w:sz w:val="32"/>
          <w:szCs w:val="32"/>
          <w:lang w:eastAsia="zh-CN"/>
        </w:rPr>
        <w:t>预算金额</w:t>
      </w:r>
      <w:r>
        <w:rPr>
          <w:rFonts w:hint="eastAsia" w:ascii="仿宋" w:hAnsi="仿宋" w:eastAsia="仿宋"/>
          <w:sz w:val="32"/>
          <w:szCs w:val="32"/>
          <w:lang w:val="en-US" w:eastAsia="zh-CN"/>
        </w:rPr>
        <w:t>7180万元，执行金额5736.49万元，预算执行率79.90%，</w:t>
      </w:r>
      <w:r>
        <w:rPr>
          <w:rFonts w:hint="eastAsia" w:ascii="仿宋" w:hAnsi="仿宋" w:eastAsia="仿宋"/>
          <w:sz w:val="32"/>
          <w:szCs w:val="32"/>
        </w:rPr>
        <w:t>计算分值</w:t>
      </w:r>
      <w:r>
        <w:rPr>
          <w:rFonts w:hint="eastAsia" w:ascii="仿宋" w:hAnsi="仿宋" w:eastAsia="仿宋"/>
          <w:sz w:val="32"/>
          <w:szCs w:val="32"/>
          <w:lang w:val="en-US" w:eastAsia="zh-CN"/>
        </w:rPr>
        <w:t>得分7.99分。</w:t>
      </w:r>
    </w:p>
    <w:p w14:paraId="0DCDB236">
      <w:pPr>
        <w:spacing w:line="560" w:lineRule="exact"/>
        <w:rPr>
          <w:rFonts w:ascii="楷体" w:hAnsi="楷体" w:eastAsia="楷体"/>
          <w:bCs/>
          <w:sz w:val="32"/>
          <w:szCs w:val="32"/>
        </w:rPr>
      </w:pPr>
      <w:r>
        <w:rPr>
          <w:rFonts w:hint="eastAsia" w:ascii="仿宋" w:hAnsi="仿宋" w:eastAsia="仿宋" w:cs="楷体_GB2312"/>
          <w:b/>
          <w:bCs/>
          <w:sz w:val="32"/>
          <w:szCs w:val="32"/>
        </w:rPr>
        <w:t xml:space="preserve">    </w:t>
      </w:r>
      <w:r>
        <w:rPr>
          <w:rFonts w:hint="eastAsia" w:ascii="楷体" w:hAnsi="楷体" w:eastAsia="楷体" w:cs="楷体_GB2312"/>
          <w:bCs/>
          <w:sz w:val="32"/>
          <w:szCs w:val="32"/>
        </w:rPr>
        <w:t>（二）项目产出</w:t>
      </w:r>
    </w:p>
    <w:p w14:paraId="28FFB324">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项目的实际完成数量、质量、实效、成本等，均按预期指标完成，计算分值得分均为满分。</w:t>
      </w:r>
    </w:p>
    <w:p w14:paraId="4125E43D">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（三）项目效益</w:t>
      </w:r>
    </w:p>
    <w:p w14:paraId="01159184">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项目的社会效益、可持续影响，实际完成值达到预期目标，计算分值均为满分。</w:t>
      </w:r>
    </w:p>
    <w:p w14:paraId="1D87883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（四）满意度</w:t>
      </w:r>
    </w:p>
    <w:p w14:paraId="7DF73F67">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项目社会公众或服务对象满意度大于等于90%，计算分值为满分。</w:t>
      </w:r>
    </w:p>
    <w:p w14:paraId="3D064F73">
      <w:pPr>
        <w:spacing w:line="560" w:lineRule="exact"/>
        <w:ind w:firstLine="640" w:firstLineChars="200"/>
        <w:rPr>
          <w:rFonts w:ascii="黑体" w:hAnsi="黑体" w:eastAsia="黑体"/>
          <w:sz w:val="32"/>
          <w:szCs w:val="32"/>
        </w:rPr>
      </w:pPr>
      <w:r>
        <w:rPr>
          <w:rFonts w:hint="eastAsia" w:ascii="黑体" w:hAnsi="黑体" w:eastAsia="黑体"/>
          <w:sz w:val="32"/>
          <w:szCs w:val="32"/>
        </w:rPr>
        <w:t>四、项目综合评价结论和评价等级</w:t>
      </w:r>
    </w:p>
    <w:p w14:paraId="66013557">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根据项目执行情况和项目绩效情况，总得分97.99</w:t>
      </w:r>
      <w:bookmarkStart w:id="0" w:name="_GoBack"/>
      <w:bookmarkEnd w:id="0"/>
      <w:r>
        <w:rPr>
          <w:rFonts w:hint="eastAsia" w:ascii="仿宋" w:hAnsi="仿宋" w:eastAsia="仿宋"/>
          <w:sz w:val="32"/>
          <w:szCs w:val="32"/>
          <w:lang w:val="en-US" w:eastAsia="zh-CN"/>
        </w:rPr>
        <w:t>分，项目综合绩效评价为优秀。</w:t>
      </w:r>
    </w:p>
    <w:p w14:paraId="1C7469B8">
      <w:pPr>
        <w:spacing w:line="560" w:lineRule="exact"/>
        <w:ind w:firstLine="640" w:firstLineChars="200"/>
        <w:rPr>
          <w:rFonts w:ascii="黑体" w:hAnsi="黑体" w:eastAsia="黑体"/>
          <w:sz w:val="32"/>
          <w:szCs w:val="32"/>
        </w:rPr>
      </w:pPr>
      <w:r>
        <w:rPr>
          <w:rFonts w:hint="eastAsia" w:ascii="黑体" w:hAnsi="黑体" w:eastAsia="黑体"/>
          <w:sz w:val="32"/>
          <w:szCs w:val="32"/>
        </w:rPr>
        <w:t>五、存在的问题及改进措施</w:t>
      </w:r>
    </w:p>
    <w:p w14:paraId="492082E2">
      <w:pPr>
        <w:spacing w:line="560" w:lineRule="exact"/>
        <w:ind w:firstLine="640" w:firstLineChars="200"/>
        <w:rPr>
          <w:rFonts w:hint="eastAsia" w:ascii="楷体" w:hAnsi="楷体" w:eastAsia="楷体"/>
          <w:bCs/>
          <w:sz w:val="32"/>
          <w:szCs w:val="32"/>
        </w:rPr>
      </w:pPr>
      <w:r>
        <w:rPr>
          <w:rFonts w:hint="eastAsia" w:ascii="楷体" w:hAnsi="楷体" w:eastAsia="楷体"/>
          <w:bCs/>
          <w:sz w:val="32"/>
          <w:szCs w:val="32"/>
        </w:rPr>
        <w:t>（一）项目存在的主要问题</w:t>
      </w:r>
    </w:p>
    <w:p w14:paraId="29F1AE72">
      <w:pPr>
        <w:spacing w:line="560" w:lineRule="exact"/>
        <w:ind w:firstLine="1600" w:firstLineChars="500"/>
        <w:rPr>
          <w:rFonts w:hint="eastAsia" w:ascii="仿宋" w:hAnsi="仿宋" w:eastAsia="仿宋"/>
          <w:sz w:val="32"/>
          <w:szCs w:val="32"/>
          <w:lang w:val="en-US" w:eastAsia="zh-CN"/>
        </w:rPr>
      </w:pPr>
      <w:r>
        <w:rPr>
          <w:rFonts w:hint="eastAsia" w:ascii="仿宋" w:hAnsi="仿宋" w:eastAsia="仿宋"/>
          <w:sz w:val="32"/>
          <w:szCs w:val="32"/>
          <w:lang w:val="en-US" w:eastAsia="zh-CN"/>
        </w:rPr>
        <w:t>无。</w:t>
      </w:r>
    </w:p>
    <w:p w14:paraId="1C3149F7">
      <w:pPr>
        <w:spacing w:line="560" w:lineRule="exact"/>
        <w:ind w:firstLine="640" w:firstLineChars="200"/>
        <w:rPr>
          <w:rFonts w:ascii="楷体" w:hAnsi="楷体" w:eastAsia="楷体"/>
          <w:bCs/>
          <w:sz w:val="32"/>
          <w:szCs w:val="32"/>
        </w:rPr>
      </w:pPr>
      <w:r>
        <w:rPr>
          <w:rFonts w:hint="eastAsia" w:ascii="楷体" w:hAnsi="楷体" w:eastAsia="楷体"/>
          <w:bCs/>
          <w:sz w:val="32"/>
          <w:szCs w:val="32"/>
        </w:rPr>
        <w:t>（二）针对问题提出具体的改进措施或建议</w:t>
      </w:r>
    </w:p>
    <w:p w14:paraId="7C4AED9E">
      <w:pPr>
        <w:spacing w:line="560" w:lineRule="exact"/>
        <w:ind w:firstLine="1600" w:firstLineChars="500"/>
        <w:rPr>
          <w:rFonts w:hint="eastAsia" w:ascii="仿宋" w:hAnsi="仿宋" w:eastAsia="仿宋"/>
          <w:lang w:eastAsia="zh-CN"/>
        </w:rPr>
      </w:pPr>
      <w:r>
        <w:rPr>
          <w:rFonts w:hint="eastAsia" w:ascii="仿宋" w:hAnsi="仿宋" w:eastAsia="仿宋"/>
          <w:sz w:val="32"/>
          <w:szCs w:val="32"/>
          <w:lang w:val="en-US" w:eastAsia="zh-CN"/>
        </w:rPr>
        <w:t>无。</w:t>
      </w:r>
    </w:p>
    <w:p w14:paraId="71E7DE14">
      <w:pPr>
        <w:spacing w:line="560" w:lineRule="exact"/>
        <w:rPr>
          <w:rFonts w:ascii="仿宋" w:hAnsi="仿宋" w:eastAsia="仿宋"/>
        </w:rPr>
      </w:pP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FE2BBD1-715B-4CF1-A9DE-895A5D20D22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A00002BF" w:usb1="78CF7CFB" w:usb2="00000016" w:usb3="00000000" w:csb0="6006009F" w:csb1="DFD70000"/>
    <w:embedRegular r:id="rId2" w:fontKey="{2F5E0541-5E29-4C47-91B0-CA22694D616B}"/>
  </w:font>
  <w:font w:name="仿宋">
    <w:panose1 w:val="02010609060101010101"/>
    <w:charset w:val="86"/>
    <w:family w:val="modern"/>
    <w:pitch w:val="default"/>
    <w:sig w:usb0="800002BF" w:usb1="38CF7CFA" w:usb2="00000016" w:usb3="00000000" w:csb0="00040001" w:csb1="00000000"/>
    <w:embedRegular r:id="rId3" w:fontKey="{A4A35BFB-2569-43B5-8D7E-BB0BCA59A9F1}"/>
  </w:font>
  <w:font w:name="楷体">
    <w:panose1 w:val="02010609060101010101"/>
    <w:charset w:val="86"/>
    <w:family w:val="modern"/>
    <w:pitch w:val="default"/>
    <w:sig w:usb0="800002BF" w:usb1="38CF7CFA" w:usb2="00000016" w:usb3="00000000" w:csb0="00040001" w:csb1="00000000"/>
    <w:embedRegular r:id="rId4" w:fontKey="{274C2E70-0948-46E4-9BF8-DB040B328E95}"/>
  </w:font>
  <w:font w:name="楷体_GB2312">
    <w:altName w:val="楷体"/>
    <w:panose1 w:val="02010609030101010101"/>
    <w:charset w:val="86"/>
    <w:family w:val="auto"/>
    <w:pitch w:val="default"/>
    <w:sig w:usb0="00000000" w:usb1="00000000" w:usb2="00000000" w:usb3="00000000" w:csb0="00040000" w:csb1="00000000"/>
    <w:embedRegular r:id="rId5" w:fontKey="{3D173F81-87B0-4AB6-80E8-704AA30AFBA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2FB9DB">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9DEA1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wps:txbx>
                    <wps:bodyPr wrap="none" lIns="0" tIns="0" rIns="0" bIns="0" upright="1">
                      <a:spAutoFit/>
                    </wps:bodyPr>
                  </wps:wsp>
                </a:graphicData>
              </a:graphic>
            </wp:anchor>
          </w:drawing>
        </mc:Choice>
        <mc:Fallback>
          <w:pict>
            <v:shape id="Quad Arrow 307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DLZp0PwAEAAJ0DAAAOAAAAAAAAAAEAIAAAAB4BAABkcnMvZTJvRG9jLnhtbFBLBQYA&#10;AAAABgAGAFkBAABQBQAAAAA=&#10;">
              <v:fill on="f" focussize="0,0"/>
              <v:stroke on="f"/>
              <v:imagedata o:title=""/>
              <o:lock v:ext="edit" aspectratio="f"/>
              <v:textbox inset="0mm,0mm,0mm,0mm" style="mso-fit-shape-to-text:t;">
                <w:txbxContent>
                  <w:p w14:paraId="0E9DEA1F">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F21C5A"/>
    <w:multiLevelType w:val="singleLevel"/>
    <w:tmpl w:val="2EF21C5A"/>
    <w:lvl w:ilvl="0" w:tentative="0">
      <w:start w:val="2"/>
      <w:numFmt w:val="decimal"/>
      <w:lvlText w:val="%1."/>
      <w:lvlJc w:val="left"/>
      <w:pPr>
        <w:tabs>
          <w:tab w:val="left" w:pos="312"/>
        </w:tabs>
      </w:pPr>
    </w:lvl>
  </w:abstractNum>
  <w:abstractNum w:abstractNumId="1">
    <w:nsid w:val="37CFEA1D"/>
    <w:multiLevelType w:val="singleLevel"/>
    <w:tmpl w:val="37CFEA1D"/>
    <w:lvl w:ilvl="0" w:tentative="0">
      <w:start w:val="2"/>
      <w:numFmt w:val="chineseCounting"/>
      <w:suff w:val="nothing"/>
      <w:lvlText w:val="（%1）"/>
      <w:lvlJc w:val="left"/>
      <w:rPr>
        <w:rFonts w:hint="eastAsia"/>
      </w:rPr>
    </w:lvl>
  </w:abstractNum>
  <w:abstractNum w:abstractNumId="2">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EB97A43"/>
    <w:rsid w:val="0EBD2122"/>
    <w:rsid w:val="11B71E6A"/>
    <w:rsid w:val="1AAF0063"/>
    <w:rsid w:val="1BE140DE"/>
    <w:rsid w:val="248C197D"/>
    <w:rsid w:val="252959AF"/>
    <w:rsid w:val="277A6671"/>
    <w:rsid w:val="292D35B7"/>
    <w:rsid w:val="2DBB3235"/>
    <w:rsid w:val="33EB6CFF"/>
    <w:rsid w:val="39FDD281"/>
    <w:rsid w:val="3B625C0A"/>
    <w:rsid w:val="3CEE1963"/>
    <w:rsid w:val="512260B4"/>
    <w:rsid w:val="597244E8"/>
    <w:rsid w:val="5DA62BB3"/>
    <w:rsid w:val="5FF4E88A"/>
    <w:rsid w:val="65FBBAC2"/>
    <w:rsid w:val="66AF0CE5"/>
    <w:rsid w:val="68025E5D"/>
    <w:rsid w:val="6E5B14A6"/>
    <w:rsid w:val="6F77CC83"/>
    <w:rsid w:val="7BB51E06"/>
    <w:rsid w:val="7C387F7C"/>
    <w:rsid w:val="7DAE5870"/>
    <w:rsid w:val="7F733BF4"/>
    <w:rsid w:val="DD7BF3A3"/>
    <w:rsid w:val="EFE7682E"/>
    <w:rsid w:val="FF604797"/>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1927</Words>
  <Characters>2128</Characters>
  <Lines>7</Lines>
  <Paragraphs>2</Paragraphs>
  <TotalTime>3</TotalTime>
  <ScaleCrop>false</ScaleCrop>
  <LinksUpToDate>false</LinksUpToDate>
  <CharactersWithSpaces>2136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2020-02-05T19:46:00Z</dcterms:created>
  <dc:creator>欣欣大人</dc:creator>
  <cp:lastModifiedBy> ‏ ‏ ‏ ‏ ‏ ‏</cp:lastModifiedBy>
  <cp:lastPrinted>2024-03-07T23:38:00Z</cp:lastPrinted>
  <dcterms:modified xsi:type="dcterms:W3CDTF">2025-06-04T02:55:16Z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CF3A8BA4139C422EB901F5C05BDBA890_12</vt:lpwstr>
  </property>
  <property fmtid="{D5CDD505-2E9C-101B-9397-08002B2CF9AE}" pid="4" name="KSOTemplateDocerSaveRecord">
    <vt:lpwstr>eyJoZGlkIjoiZjdmYzQ5YjRkMjAxMzJhOTEwYWM1YmMwZGNkMjZiNzYiLCJ1c2VySWQiOiI0MjA0ODc2OTYifQ==</vt:lpwstr>
  </property>
</Properties>
</file>