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2E4D4">
      <w:pPr>
        <w:adjustRightInd w:val="0"/>
        <w:snapToGrid w:val="0"/>
        <w:spacing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6AF4D7DE">
      <w:pPr>
        <w:spacing w:line="560" w:lineRule="exact"/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2024年普通国省干线公路建设养护发展专项资金（安全提升及排水整治工程）</w:t>
      </w:r>
    </w:p>
    <w:p w14:paraId="21AF5D0C">
      <w:pPr>
        <w:spacing w:line="560" w:lineRule="exact"/>
        <w:jc w:val="center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b/>
          <w:bCs/>
          <w:sz w:val="44"/>
          <w:szCs w:val="44"/>
        </w:rPr>
        <w:t>项目自评报告</w:t>
      </w:r>
    </w:p>
    <w:p w14:paraId="2C8FC70D">
      <w:pPr>
        <w:spacing w:line="560" w:lineRule="exact"/>
        <w:jc w:val="center"/>
        <w:rPr>
          <w:rFonts w:ascii="华文楷体" w:eastAsia="华文楷体"/>
          <w:sz w:val="32"/>
          <w:szCs w:val="32"/>
        </w:rPr>
      </w:pPr>
    </w:p>
    <w:p w14:paraId="149FD74E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根据《石家庄市市级部门项目绩效自评管理办法》（石财绩〔2020〕5号），</w:t>
      </w:r>
      <w:r>
        <w:rPr>
          <w:rFonts w:hint="eastAsia" w:ascii="仿宋" w:hAnsi="仿宋" w:eastAsia="仿宋" w:cs="仿宋"/>
          <w:sz w:val="32"/>
          <w:szCs w:val="32"/>
        </w:rPr>
        <w:t>遵循全面覆盖、程序简便、客观公正、公开透明的</w:t>
      </w:r>
      <w:r>
        <w:rPr>
          <w:rFonts w:hint="eastAsia" w:ascii="仿宋" w:hAnsi="仿宋" w:eastAsia="仿宋"/>
          <w:sz w:val="32"/>
          <w:szCs w:val="32"/>
        </w:rPr>
        <w:t>原则，对2024年普通国省干线公路建设养护发展专项资金（安全提升及排水整治工程）实施了财政绩效自评价，形成本评价报告。</w:t>
      </w:r>
    </w:p>
    <w:p w14:paraId="1BC3C330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b/>
          <w:bCs/>
          <w:sz w:val="32"/>
          <w:szCs w:val="36"/>
        </w:rPr>
      </w:pPr>
      <w:r>
        <w:rPr>
          <w:rFonts w:hint="eastAsia" w:ascii="黑体" w:hAnsi="黑体" w:eastAsia="黑体"/>
          <w:sz w:val="32"/>
          <w:szCs w:val="32"/>
        </w:rPr>
        <w:t>一、项目</w:t>
      </w:r>
      <w:r>
        <w:rPr>
          <w:rFonts w:hint="eastAsia" w:ascii="黑体" w:hAnsi="黑体" w:eastAsia="黑体"/>
          <w:sz w:val="32"/>
          <w:szCs w:val="36"/>
        </w:rPr>
        <w:t>基本情况</w:t>
      </w:r>
    </w:p>
    <w:p w14:paraId="6CEDF59A"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（一）项目概况</w:t>
      </w:r>
    </w:p>
    <w:p w14:paraId="08A5BAC1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项目实施单位及项目立项等基本情况；</w:t>
      </w:r>
    </w:p>
    <w:p w14:paraId="2CEFDE75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项目实施单位为石家庄市公路服务保障中心，</w:t>
      </w:r>
    </w:p>
    <w:p w14:paraId="7F60C167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国道G234等3项安全设施精细化提升工程方案批复文件为：河北省公路事业发展中心《关于石家庄市国道G234兴隆至阳江公路K695＋301至K745＋606段等3条路段安全设施精细化提升工程方案的批复》（冀公路〔2023〕114号）；国道G234等3项安全设施精细化提升工程施工图批复文件为：河北省公路事业发展中心《关于石家庄市国道G234线K695＋301至K745＋606段等3项安全设施精细化提升工程施工图设计文件的批复》（冀公路〔2023〕189号）。</w:t>
      </w:r>
    </w:p>
    <w:p w14:paraId="41B80D36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省道S240等4项排水整治工程方案批复文件为：河北省公路事业发展中心《关于石家庄市省道新临线（S240）沙河店村至野鸡铺村等4条路段排水整治工程方案的批复》（冀公路〔2022〕147号）；国道G234等3项安全设施精细化提升工程施工图批复文件为：河北省公路事业发展中心《关于石家庄市省道新临线（S240）沙河店村至野鸡铺村等4条路段排水整治工程施工图设计文件的批复》（冀公路〔2022〕215号）。</w:t>
      </w:r>
    </w:p>
    <w:p w14:paraId="34232513">
      <w:pPr>
        <w:numPr>
          <w:ilvl w:val="0"/>
          <w:numId w:val="1"/>
        </w:num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项目主要实施内容和范围；</w:t>
      </w:r>
    </w:p>
    <w:p w14:paraId="012E743B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2024年普通国省干线公路建设养护发展专项资金（安全提升及排水整治工程）项目共包括3项安全设施精细化提升工程和4条路段排水整治工程：</w:t>
      </w:r>
    </w:p>
    <w:p w14:paraId="094997B4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  <w:lang w:eastAsia="zh-CN"/>
        </w:rPr>
        <w:t>）石家庄市国道G234兴隆至阳江公路K695+301至K745+606段交通安全设施精细化提升工程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项目；</w:t>
      </w:r>
    </w:p>
    <w:p w14:paraId="7D463047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（2）</w:t>
      </w:r>
      <w:r>
        <w:rPr>
          <w:rFonts w:hint="eastAsia" w:ascii="仿宋" w:hAnsi="仿宋" w:eastAsia="仿宋" w:cs="Times New Roman"/>
          <w:sz w:val="32"/>
          <w:szCs w:val="32"/>
          <w:highlight w:val="none"/>
        </w:rPr>
        <w:t>石家庄市国道G207乌兰浩特至海安公路K1430+216处下穿渡槽路段交通安全设施精细化提升工程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项目；</w:t>
      </w:r>
    </w:p>
    <w:p w14:paraId="6C8B4910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（3）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石家庄市国道G338海兴至天峻公路K428+575处下穿渡槽路段交通安全设施精细化提升工程项目；</w:t>
      </w:r>
    </w:p>
    <w:p w14:paraId="17C4AC05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）省道新临线（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S240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）沙河店村至野鸡铺村部分路段排水整治工程；</w:t>
      </w:r>
    </w:p>
    <w:p w14:paraId="33266B75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）国道兴阳线（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G234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）北龙岗村至孟托村部分路段排水整治工程；</w:t>
      </w:r>
    </w:p>
    <w:p w14:paraId="361ACAC1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）国道乌海线（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G207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）后岭沟村至寨头村部分路段排水整治工程；</w:t>
      </w:r>
    </w:p>
    <w:p w14:paraId="31A7CBB0"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）省道正南线（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val="en-US" w:eastAsia="zh-CN"/>
        </w:rPr>
        <w:t>S201</w:t>
      </w:r>
      <w:r>
        <w:rPr>
          <w:rFonts w:hint="eastAsia" w:ascii="仿宋" w:hAnsi="仿宋" w:eastAsia="仿宋" w:cs="Times New Roman"/>
          <w:sz w:val="32"/>
          <w:szCs w:val="32"/>
          <w:highlight w:val="none"/>
          <w:lang w:eastAsia="zh-CN"/>
        </w:rPr>
        <w:t>）北文城村至西岔头村部分路段排水整治工程。</w:t>
      </w:r>
    </w:p>
    <w:p w14:paraId="1F61FD9B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/>
          <w:sz w:val="32"/>
          <w:szCs w:val="32"/>
        </w:rPr>
        <w:t>项目资金投入情况（资金数量、资金结构、资金来源渠道等）。</w:t>
      </w:r>
    </w:p>
    <w:p w14:paraId="63DB4D2B">
      <w:pPr>
        <w:adjustRightInd w:val="0"/>
        <w:snapToGrid w:val="0"/>
        <w:spacing w:line="560" w:lineRule="exact"/>
        <w:ind w:firstLine="800" w:firstLineChars="25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2024年普通国省干线公路建设养护发展专项资金（安全提升及排水整治工程）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下达中省级燃油税1252万元，调剂560万元，实际下达692万元，现所有工程项目已完工，已完成计划资金省级燃油税拨付521万元，预算执行率为75.3%。</w:t>
      </w:r>
    </w:p>
    <w:p w14:paraId="0993EBD7">
      <w:pPr>
        <w:adjustRightInd w:val="0"/>
        <w:snapToGrid w:val="0"/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（二）项目预期绩效目标</w:t>
      </w:r>
    </w:p>
    <w:p w14:paraId="4F047915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项目预期绩效总目标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为</w:t>
      </w:r>
      <w:r>
        <w:rPr>
          <w:rFonts w:hint="eastAsia" w:ascii="仿宋" w:hAnsi="仿宋" w:eastAsia="仿宋"/>
          <w:sz w:val="32"/>
          <w:szCs w:val="32"/>
          <w:highlight w:val="none"/>
        </w:rPr>
        <w:t>通过该工程实施，提升公共服务水平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。</w:t>
      </w:r>
    </w:p>
    <w:p w14:paraId="13CC4692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阶段性（当年）的绩效目标和指标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为完成完成国道G234等3项安全设施精细化提升工程及S240等4项排水整治工程，完成养护工程质量达到合格水平，实际成本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不高于计划数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692万元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highlight w:val="none"/>
        </w:rPr>
        <w:t>对经济发展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起到</w:t>
      </w:r>
      <w:r>
        <w:rPr>
          <w:rFonts w:hint="eastAsia" w:ascii="仿宋" w:hAnsi="仿宋" w:eastAsia="仿宋"/>
          <w:sz w:val="32"/>
          <w:szCs w:val="32"/>
          <w:highlight w:val="none"/>
        </w:rPr>
        <w:t>促进作用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，提升基本公共服务水平，社会公众和服务对象司乘人员等满意度达到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90%以上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。</w:t>
      </w:r>
    </w:p>
    <w:p w14:paraId="260A0EB7">
      <w:pPr>
        <w:adjustRightInd w:val="0"/>
        <w:snapToGri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二、自评工作情况</w:t>
      </w:r>
    </w:p>
    <w:p w14:paraId="53D1C0D1">
      <w:pPr>
        <w:adjustRightInd w:val="0"/>
        <w:snapToGrid w:val="0"/>
        <w:spacing w:line="560" w:lineRule="exact"/>
        <w:ind w:firstLine="627" w:firstLineChars="196"/>
        <w:rPr>
          <w:rFonts w:ascii="仿宋" w:hAnsi="仿宋" w:eastAsia="仿宋" w:cs="楷体_GB2312"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（一）自评的组织工作</w:t>
      </w:r>
    </w:p>
    <w:p w14:paraId="6E50CC0B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按照绩效评价有关文件要求，我单位组织了工程科、养护科、财务科等有关人员,对2024年普通国省干线公路建设养护发展专项资金（安全提升及排水整治工程）项目资金进行梳理，确定绩效自评负责人，并按照相关要求对逐个项目进行自评，确保自评结果准确、客观，各相关科室沟通协作共同完成绩效自评工作。</w:t>
      </w:r>
    </w:p>
    <w:p w14:paraId="4CF1E944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楷体_GB2312"/>
          <w:b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（二）自评的方法和过程</w:t>
      </w:r>
    </w:p>
    <w:p w14:paraId="2D61CE57"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在评价实施过程中，我们首先明确了每个阶段应该收集的信息，然后，由有关人员根据项目进度收集信息，及时进行汇总、整理，并对照绩效指标监控项目的完成情况。对于没有及时完成预期设定绩效指标的，及时调整工作方向和工作方法，确保绩效指标的顺利实施。建立健全各项财务管理制度和资金管理办法。</w:t>
      </w:r>
    </w:p>
    <w:p w14:paraId="393BA9EC">
      <w:pPr>
        <w:adjustRightInd w:val="0"/>
        <w:snapToGrid w:val="0"/>
        <w:spacing w:line="560" w:lineRule="exact"/>
        <w:ind w:firstLine="640" w:firstLineChars="200"/>
        <w:rPr>
          <w:rFonts w:hint="eastAsia" w:ascii="楷体" w:hAnsi="楷体" w:eastAsia="楷体" w:cs="楷体_GB2312"/>
          <w:bCs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绩效评价实施过程：一是前期准备，按照绩效评价有关文件要求，为做好统一评价工作，分析自评报告要求，并赴现场收集有关资料。二是组织实施，对项目单位自评报告中的数据及相关情况进行审核、确认，调查走访项目周边群众及单位，严格按照文件要求，实事求是、客观公正地进行本次绩效评价统一评价工作。三是分析评价，各部门共同讨论、组织统一评价报告，严格按照文件要求，实事求是、客观公正地进行本次绩效评价工作。</w:t>
      </w:r>
    </w:p>
    <w:p w14:paraId="61298E34"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b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（三）建立绩效评价指标体系</w:t>
      </w:r>
    </w:p>
    <w:p w14:paraId="59926C94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在开展预算自评工作时，针对具体绩效评价对象的特点，设计能够体现项目特点绩效评价指标体系。绩效指标权重由各部门根据评价对象实际情况确定，总分设定为100分。原则上一级指标权重统一设置为：产出指标40分（包含数量、质量、时效、成本）、预算执行率指标10分、效益指标40分（包含经济效益、社会效益、生态效益、可持续影响）、满意度指标10分。如某一类指标未设定，其分值可合理调整至其他指标。</w:t>
      </w:r>
    </w:p>
    <w:p w14:paraId="24260CB6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二、三级指标所占权重应当根据指标重要程度、项目实施阶段等因素综合确定，准确反映预算项目的产出和效果。</w:t>
      </w:r>
    </w:p>
    <w:p w14:paraId="542728D6"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同类评价对象的指标权重设置应当基本一致，便于评价结果相互比较。</w:t>
      </w:r>
    </w:p>
    <w:p w14:paraId="33C29D7B">
      <w:pPr>
        <w:spacing w:line="560" w:lineRule="exact"/>
        <w:ind w:firstLine="640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三、项目执行及绩效实现情况</w:t>
      </w:r>
    </w:p>
    <w:p w14:paraId="0F14F103">
      <w:pPr>
        <w:numPr>
          <w:ilvl w:val="0"/>
          <w:numId w:val="2"/>
        </w:numPr>
        <w:spacing w:line="560" w:lineRule="exact"/>
        <w:ind w:firstLine="640" w:firstLineChars="200"/>
        <w:rPr>
          <w:rFonts w:ascii="楷体" w:hAnsi="楷体" w:eastAsia="楷体" w:cs="楷体_GB2312"/>
          <w:bCs/>
          <w:sz w:val="32"/>
          <w:szCs w:val="32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预算执行情况</w:t>
      </w:r>
    </w:p>
    <w:p w14:paraId="509332FE">
      <w:pPr>
        <w:spacing w:line="56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预算金额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692万元，执行金额521万元，预算执行率75.29%，</w:t>
      </w:r>
      <w:r>
        <w:rPr>
          <w:rFonts w:hint="eastAsia" w:ascii="仿宋" w:hAnsi="仿宋" w:eastAsia="仿宋"/>
          <w:sz w:val="32"/>
          <w:szCs w:val="32"/>
        </w:rPr>
        <w:t>计算分值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得分7.5分。</w:t>
      </w:r>
    </w:p>
    <w:p w14:paraId="7B2A721C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_GB2312"/>
          <w:bCs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二）项目产出</w:t>
      </w:r>
    </w:p>
    <w:p w14:paraId="47E6133D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项目的实际完成数量、质量、实效、成本等，均按预期指标完成，计算分值得分均为满分。</w:t>
      </w:r>
    </w:p>
    <w:p w14:paraId="340DD2E8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（三）项目效益</w:t>
      </w:r>
    </w:p>
    <w:p w14:paraId="3D592219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项目的社会效益、可持续影响，实际完成值达到预期目标，计算分值均为满分。</w:t>
      </w:r>
    </w:p>
    <w:p w14:paraId="42758A7D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（四）满意度</w:t>
      </w:r>
    </w:p>
    <w:p w14:paraId="149C96F8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项目社会公众或服务对象满意度大于等于90%，计算分值为满分。</w:t>
      </w:r>
    </w:p>
    <w:p w14:paraId="0BD01F97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四、项目综合评价结论和评价等级</w:t>
      </w:r>
    </w:p>
    <w:p w14:paraId="48E13F91"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根据项目执行情况和项目绩效情况，总得分97.5分，项目综合绩效评价为优秀。</w:t>
      </w:r>
    </w:p>
    <w:p w14:paraId="45912E23"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五、存在的问题及改进措施</w:t>
      </w:r>
    </w:p>
    <w:p w14:paraId="21250502">
      <w:pPr>
        <w:spacing w:line="560" w:lineRule="exact"/>
        <w:ind w:firstLine="640" w:firstLineChars="200"/>
        <w:rPr>
          <w:rFonts w:hint="eastAsia"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（一）项目存在的主要问题</w:t>
      </w:r>
    </w:p>
    <w:p w14:paraId="190D1690">
      <w:pPr>
        <w:spacing w:line="560" w:lineRule="exact"/>
        <w:ind w:firstLine="640" w:firstLineChars="200"/>
        <w:rPr>
          <w:rFonts w:hint="default" w:ascii="楷体" w:hAnsi="楷体" w:eastAsia="楷体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Cs/>
          <w:sz w:val="32"/>
          <w:szCs w:val="32"/>
          <w:lang w:eastAsia="zh-CN"/>
        </w:rPr>
        <w:t>无</w:t>
      </w:r>
      <w:r>
        <w:rPr>
          <w:rFonts w:hint="eastAsia" w:ascii="楷体" w:hAnsi="楷体" w:eastAsia="楷体"/>
          <w:bCs/>
          <w:sz w:val="32"/>
          <w:szCs w:val="32"/>
          <w:lang w:val="en-US" w:eastAsia="zh-CN"/>
        </w:rPr>
        <w:t>.</w:t>
      </w:r>
    </w:p>
    <w:p w14:paraId="2192C664">
      <w:pPr>
        <w:spacing w:line="560" w:lineRule="exact"/>
        <w:ind w:firstLine="640" w:firstLineChars="200"/>
        <w:rPr>
          <w:rFonts w:ascii="楷体" w:hAnsi="楷体" w:eastAsia="楷体"/>
          <w:bCs/>
          <w:sz w:val="32"/>
          <w:szCs w:val="32"/>
        </w:rPr>
      </w:pPr>
      <w:r>
        <w:rPr>
          <w:rFonts w:hint="eastAsia" w:ascii="楷体" w:hAnsi="楷体" w:eastAsia="楷体"/>
          <w:bCs/>
          <w:sz w:val="32"/>
          <w:szCs w:val="32"/>
        </w:rPr>
        <w:t>（二）针对问题提出具体的改进措施或建议</w:t>
      </w:r>
    </w:p>
    <w:p w14:paraId="1C7E5CFC">
      <w:pPr>
        <w:spacing w:line="560" w:lineRule="exact"/>
        <w:ind w:firstLine="640" w:firstLineChars="200"/>
        <w:rPr>
          <w:rFonts w:hint="default" w:ascii="楷体" w:hAnsi="楷体" w:eastAsia="楷体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Cs/>
          <w:sz w:val="32"/>
          <w:szCs w:val="32"/>
          <w:lang w:eastAsia="zh-CN"/>
        </w:rPr>
        <w:t>无</w:t>
      </w:r>
      <w:r>
        <w:rPr>
          <w:rFonts w:hint="eastAsia" w:ascii="楷体" w:hAnsi="楷体" w:eastAsia="楷体"/>
          <w:bCs/>
          <w:sz w:val="32"/>
          <w:szCs w:val="32"/>
          <w:lang w:val="en-US" w:eastAsia="zh-CN"/>
        </w:rPr>
        <w:t>.</w:t>
      </w:r>
    </w:p>
    <w:sectPr>
      <w:footerReference r:id="rId3" w:type="default"/>
      <w:pgSz w:w="11906" w:h="16838"/>
      <w:pgMar w:top="1440" w:right="1474" w:bottom="1440" w:left="1587" w:header="851" w:footer="992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E9A59">
    <w:pPr>
      <w:pStyle w:val="2"/>
    </w:pPr>
    <w:r>
      <w:pict>
        <v:shape id="Quad Arrow 3073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o:preferrelative="t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0649BD6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t>- 1 -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B7ED29"/>
    <w:multiLevelType w:val="singleLevel"/>
    <w:tmpl w:val="01B7ED2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E68489B"/>
    <w:multiLevelType w:val="singleLevel"/>
    <w:tmpl w:val="5E68489B"/>
    <w:lvl w:ilvl="0" w:tentative="0">
      <w:start w:val="1"/>
      <w:numFmt w:val="chineseCounting"/>
      <w:suff w:val="nothing"/>
      <w:lvlText w:val="（%1）"/>
      <w:lvlJc w:val="left"/>
      <w:rPr>
        <w:rFonts w:ascii="楷体" w:hAnsi="楷体" w:eastAsia="楷体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zgxMzVhZTBlNDUyZWUxNDVhMjNkN2E1NjFlOTE5NDcifQ=="/>
  </w:docVars>
  <w:rsids>
    <w:rsidRoot w:val="0EBD2122"/>
    <w:rsid w:val="00117DDC"/>
    <w:rsid w:val="001349D3"/>
    <w:rsid w:val="00162D31"/>
    <w:rsid w:val="00165DE5"/>
    <w:rsid w:val="00222498"/>
    <w:rsid w:val="00721C4E"/>
    <w:rsid w:val="007B0AB6"/>
    <w:rsid w:val="007E6C1F"/>
    <w:rsid w:val="008246DE"/>
    <w:rsid w:val="008B5355"/>
    <w:rsid w:val="009D34BA"/>
    <w:rsid w:val="00AF566A"/>
    <w:rsid w:val="00B6553A"/>
    <w:rsid w:val="00EA4CBF"/>
    <w:rsid w:val="02647B68"/>
    <w:rsid w:val="02B43A28"/>
    <w:rsid w:val="052969BF"/>
    <w:rsid w:val="0EB97A43"/>
    <w:rsid w:val="0EBD2122"/>
    <w:rsid w:val="11B71E6A"/>
    <w:rsid w:val="1AAF0063"/>
    <w:rsid w:val="1B52286A"/>
    <w:rsid w:val="1BE140DE"/>
    <w:rsid w:val="248C197D"/>
    <w:rsid w:val="252959AF"/>
    <w:rsid w:val="277A6671"/>
    <w:rsid w:val="292D35B7"/>
    <w:rsid w:val="2CFA1814"/>
    <w:rsid w:val="33EB6CFF"/>
    <w:rsid w:val="3B625C0A"/>
    <w:rsid w:val="3CEE1963"/>
    <w:rsid w:val="512260B4"/>
    <w:rsid w:val="597244E8"/>
    <w:rsid w:val="5DA62BB3"/>
    <w:rsid w:val="66AF0CE5"/>
    <w:rsid w:val="68025E5D"/>
    <w:rsid w:val="6E5B14A6"/>
    <w:rsid w:val="7BB51E06"/>
    <w:rsid w:val="7C387F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2411</Characters>
  <Lines>7</Lines>
  <Paragraphs>2</Paragraphs>
  <TotalTime>16</TotalTime>
  <ScaleCrop>false</ScaleCrop>
  <LinksUpToDate>false</LinksUpToDate>
  <CharactersWithSpaces>2411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2020-02-04T03:46:00Z</dcterms:created>
  <dc:creator>欣欣大人</dc:creator>
  <cp:lastModifiedBy>千里江陵</cp:lastModifiedBy>
  <cp:lastPrinted>2024-03-06T07:38:00Z</cp:lastPrinted>
  <dcterms:modified xsi:type="dcterms:W3CDTF">2025-03-14T08:58:05Z</dcterms:modified>
  <dc:title>附件3：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CF3A8BA4139C422EB901F5C05BDBA890_12</vt:lpwstr>
  </property>
  <property fmtid="{D5CDD505-2E9C-101B-9397-08002B2CF9AE}" pid="4" name="KSOTemplateDocerSaveRecord">
    <vt:lpwstr>eyJoZGlkIjoiMjk3NGUxNGU2YmY1NzU1OGY1ZDlkNGI0NDUwOTI4ZmMiLCJ1c2VySWQiOiI0MTg1MDk3MDYifQ==</vt:lpwstr>
  </property>
</Properties>
</file>