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pPr>
        <w:spacing w:line="560" w:lineRule="exact"/>
        <w:jc w:val="center"/>
        <w:rPr>
          <w:rFonts w:hint="eastAsia" w:ascii="宋体" w:hAnsi="宋体" w:cs="宋体"/>
          <w:b/>
          <w:bCs/>
          <w:sz w:val="44"/>
          <w:szCs w:val="44"/>
        </w:rPr>
      </w:pPr>
      <w:r>
        <w:rPr>
          <w:rFonts w:hint="eastAsia" w:ascii="宋体" w:hAnsi="宋体" w:cs="宋体"/>
          <w:b/>
          <w:bCs/>
          <w:sz w:val="44"/>
          <w:szCs w:val="44"/>
        </w:rPr>
        <w:t>2024年政府还贷二级公路取消收费后补助资金预算（普通干线公路路面养护工程）项目</w:t>
      </w:r>
    </w:p>
    <w:p>
      <w:pPr>
        <w:spacing w:line="560" w:lineRule="exact"/>
        <w:jc w:val="center"/>
        <w:rPr>
          <w:rFonts w:ascii="宋体" w:hAnsi="宋体" w:cs="宋体"/>
          <w:sz w:val="32"/>
          <w:szCs w:val="32"/>
        </w:rPr>
      </w:pPr>
      <w:r>
        <w:rPr>
          <w:rFonts w:hint="eastAsia" w:ascii="宋体" w:hAnsi="宋体" w:cs="宋体"/>
          <w:b/>
          <w:bCs/>
          <w:sz w:val="44"/>
          <w:szCs w:val="44"/>
        </w:rPr>
        <w:t>自评报告</w:t>
      </w:r>
    </w:p>
    <w:p>
      <w:pPr>
        <w:spacing w:line="560" w:lineRule="exact"/>
        <w:jc w:val="center"/>
        <w:rPr>
          <w:rFonts w:ascii="华文楷体" w:eastAsia="华文楷体"/>
          <w:sz w:val="32"/>
          <w:szCs w:val="32"/>
        </w:rPr>
      </w:pPr>
    </w:p>
    <w:p>
      <w:pPr>
        <w:adjustRightInd w:val="0"/>
        <w:snapToGrid w:val="0"/>
        <w:spacing w:line="560" w:lineRule="exact"/>
        <w:ind w:firstLine="640" w:firstLineChars="200"/>
        <w:rPr>
          <w:rFonts w:ascii="仿宋" w:hAnsi="仿宋" w:eastAsia="仿宋"/>
          <w:sz w:val="32"/>
          <w:szCs w:val="32"/>
          <w:highlight w:val="none"/>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w:t>
      </w:r>
      <w:r>
        <w:rPr>
          <w:rFonts w:hint="eastAsia" w:ascii="仿宋" w:hAnsi="仿宋" w:eastAsia="仿宋"/>
          <w:sz w:val="32"/>
          <w:szCs w:val="32"/>
          <w:highlight w:val="none"/>
          <w:lang w:eastAsia="zh-CN"/>
        </w:rPr>
        <w:t>“</w:t>
      </w:r>
      <w:r>
        <w:rPr>
          <w:rFonts w:hint="eastAsia" w:ascii="仿宋" w:hAnsi="仿宋" w:eastAsia="仿宋"/>
          <w:sz w:val="32"/>
          <w:szCs w:val="32"/>
          <w:highlight w:val="none"/>
        </w:rPr>
        <w:t>2024年政府还贷二级公路取消收费后补助资金预算（普通干线公路路面养护工程）</w:t>
      </w:r>
      <w:r>
        <w:rPr>
          <w:rFonts w:hint="eastAsia" w:ascii="仿宋" w:hAnsi="仿宋" w:eastAsia="仿宋"/>
          <w:sz w:val="32"/>
          <w:szCs w:val="32"/>
          <w:highlight w:val="none"/>
          <w:lang w:eastAsia="zh-CN"/>
        </w:rPr>
        <w:t>”</w:t>
      </w:r>
      <w:r>
        <w:rPr>
          <w:rFonts w:hint="eastAsia" w:ascii="仿宋" w:hAnsi="仿宋" w:eastAsia="仿宋"/>
          <w:sz w:val="32"/>
          <w:szCs w:val="32"/>
          <w:highlight w:val="none"/>
        </w:rPr>
        <w:t>项目实施了财政绩效自评价，形成本评价报告。</w:t>
      </w:r>
    </w:p>
    <w:p>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项目实施单位及项目立项等基本情况；</w:t>
      </w:r>
    </w:p>
    <w:p>
      <w:pPr>
        <w:adjustRightInd w:val="0"/>
        <w:snapToGrid w:val="0"/>
        <w:spacing w:line="560" w:lineRule="exact"/>
        <w:ind w:firstLine="800" w:firstLineChars="250"/>
        <w:rPr>
          <w:rFonts w:hint="eastAsia" w:ascii="仿宋" w:hAnsi="仿宋" w:eastAsia="仿宋"/>
          <w:sz w:val="32"/>
          <w:szCs w:val="32"/>
          <w:lang w:eastAsia="zh-CN"/>
        </w:rPr>
      </w:pPr>
      <w:r>
        <w:rPr>
          <w:rFonts w:hint="eastAsia" w:ascii="仿宋" w:hAnsi="仿宋" w:eastAsia="仿宋"/>
          <w:sz w:val="32"/>
          <w:szCs w:val="32"/>
          <w:lang w:eastAsia="zh-CN"/>
        </w:rPr>
        <w:t>项目实施单位为石家庄市公路服务保障中心，该项目立项工作通过河北省交通运输厅公路事业发展中心批复的工程方案批复文件及施工图设计批复文件立项。</w:t>
      </w:r>
    </w:p>
    <w:p>
      <w:pPr>
        <w:numPr>
          <w:ilvl w:val="0"/>
          <w:numId w:val="1"/>
        </w:num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项目主要实施内容和范围；</w:t>
      </w:r>
    </w:p>
    <w:p>
      <w:pPr>
        <w:pStyle w:val="6"/>
        <w:widowControl/>
        <w:ind w:firstLine="640"/>
        <w:rPr>
          <w:rFonts w:hint="eastAsia" w:ascii="仿宋" w:hAnsi="仿宋" w:eastAsia="仿宋"/>
          <w:sz w:val="32"/>
          <w:szCs w:val="32"/>
          <w:highlight w:val="yellow"/>
          <w:lang w:eastAsia="zh-CN"/>
        </w:rPr>
      </w:pPr>
      <w:r>
        <w:rPr>
          <w:rFonts w:hint="eastAsia" w:ascii="仿宋" w:hAnsi="仿宋" w:eastAsia="仿宋"/>
          <w:sz w:val="32"/>
          <w:szCs w:val="32"/>
          <w:lang w:eastAsia="zh-CN"/>
        </w:rPr>
        <w:t>主要工作范围为对石家庄县域内的国省干线公路进行修复养护工作，恢复公路的通行能力。主要实施内容为对路面面层及基层进行修复。</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3</w:t>
      </w:r>
      <w:r>
        <w:rPr>
          <w:rFonts w:hint="eastAsia" w:ascii="仿宋" w:hAnsi="仿宋" w:eastAsia="仿宋"/>
          <w:sz w:val="32"/>
          <w:szCs w:val="32"/>
          <w:lang w:eastAsia="zh-CN"/>
        </w:rPr>
        <w:t>.</w:t>
      </w:r>
      <w:r>
        <w:rPr>
          <w:rFonts w:hint="eastAsia" w:ascii="仿宋" w:hAnsi="仿宋" w:eastAsia="仿宋"/>
          <w:sz w:val="32"/>
          <w:szCs w:val="32"/>
        </w:rPr>
        <w:t>项目资金投入情况</w:t>
      </w:r>
    </w:p>
    <w:p>
      <w:pPr>
        <w:adjustRightInd w:val="0"/>
        <w:snapToGrid w:val="0"/>
        <w:spacing w:line="560" w:lineRule="exact"/>
        <w:ind w:firstLine="800" w:firstLineChars="250"/>
        <w:rPr>
          <w:rFonts w:hint="eastAsia" w:ascii="仿宋" w:hAnsi="仿宋" w:eastAsia="仿宋"/>
          <w:sz w:val="32"/>
          <w:szCs w:val="32"/>
          <w:highlight w:val="none"/>
        </w:rPr>
      </w:pPr>
      <w:r>
        <w:rPr>
          <w:rFonts w:hint="eastAsia" w:ascii="仿宋" w:hAnsi="仿宋" w:eastAsia="仿宋"/>
          <w:sz w:val="32"/>
          <w:szCs w:val="32"/>
          <w:highlight w:val="none"/>
          <w:lang w:eastAsia="zh-CN"/>
        </w:rPr>
        <w:t>由财政安排的</w:t>
      </w:r>
      <w:r>
        <w:rPr>
          <w:rFonts w:hint="eastAsia" w:ascii="仿宋" w:hAnsi="仿宋" w:eastAsia="仿宋"/>
          <w:sz w:val="32"/>
          <w:szCs w:val="32"/>
          <w:highlight w:val="none"/>
        </w:rPr>
        <w:t>政府还贷二级公路取消收费后补助资金</w:t>
      </w:r>
      <w:r>
        <w:rPr>
          <w:rFonts w:hint="eastAsia" w:ascii="仿宋" w:hAnsi="仿宋" w:eastAsia="仿宋"/>
          <w:sz w:val="32"/>
          <w:szCs w:val="32"/>
          <w:highlight w:val="none"/>
          <w:lang w:eastAsia="zh-CN"/>
        </w:rPr>
        <w:t>，总额是</w:t>
      </w:r>
      <w:r>
        <w:rPr>
          <w:rFonts w:hint="eastAsia" w:ascii="仿宋" w:hAnsi="仿宋" w:eastAsia="仿宋"/>
          <w:sz w:val="32"/>
          <w:szCs w:val="32"/>
          <w:highlight w:val="none"/>
          <w:lang w:val="en-US" w:eastAsia="zh-CN"/>
        </w:rPr>
        <w:t>3391万元。</w:t>
      </w:r>
    </w:p>
    <w:p>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highlight w:val="none"/>
        </w:rPr>
        <w:t>（二）项目预期绩效</w:t>
      </w:r>
      <w:r>
        <w:rPr>
          <w:rFonts w:hint="eastAsia" w:ascii="楷体" w:hAnsi="楷体" w:eastAsia="楷体" w:cs="楷体_GB2312"/>
          <w:bCs/>
          <w:sz w:val="32"/>
          <w:szCs w:val="32"/>
        </w:rPr>
        <w:t>目标</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 xml:space="preserve">完成养护工程且质量合格。恢复、提升公路原有技术指标，有效提高通行能力和行车舒适性。拉动公路沿线区域发展，方便公路沿线乡镇与外界的交流。同时恢复原设计功能，行车速度比提高30%。     </w:t>
      </w:r>
    </w:p>
    <w:p>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pPr>
        <w:adjustRightInd w:val="0"/>
        <w:snapToGrid w:val="0"/>
        <w:spacing w:line="560" w:lineRule="exact"/>
        <w:ind w:firstLine="640" w:firstLineChars="200"/>
        <w:rPr>
          <w:rFonts w:hint="eastAsia" w:ascii="楷体" w:hAnsi="楷体" w:eastAsia="仿宋" w:cs="楷体_GB2312"/>
          <w:bCs/>
          <w:sz w:val="32"/>
          <w:szCs w:val="32"/>
          <w:lang w:eastAsia="zh-CN"/>
        </w:rPr>
      </w:pPr>
      <w:r>
        <w:rPr>
          <w:rFonts w:hint="eastAsia" w:ascii="仿宋_GB2312" w:hAnsi="仿宋_GB2312" w:eastAsia="仿宋_GB2312" w:cs="仿宋_GB2312"/>
          <w:sz w:val="32"/>
          <w:szCs w:val="32"/>
          <w:lang w:eastAsia="zh-CN"/>
        </w:rPr>
        <w:t>我中心积极组织开展项目绩效自评工作，</w:t>
      </w:r>
      <w:r>
        <w:rPr>
          <w:rFonts w:hint="eastAsia" w:ascii="仿宋" w:hAnsi="仿宋" w:eastAsia="仿宋"/>
          <w:sz w:val="32"/>
          <w:szCs w:val="32"/>
        </w:rPr>
        <w:t>按照省财政厅和省交通厅有关文件要求，做好统一评价工作，分析单位</w:t>
      </w:r>
      <w:r>
        <w:rPr>
          <w:rFonts w:hint="eastAsia" w:ascii="仿宋" w:hAnsi="仿宋" w:eastAsia="仿宋"/>
          <w:sz w:val="32"/>
          <w:szCs w:val="32"/>
          <w:lang w:eastAsia="zh-CN"/>
        </w:rPr>
        <w:t>制定的绩效目标</w:t>
      </w:r>
      <w:r>
        <w:rPr>
          <w:rFonts w:hint="eastAsia" w:ascii="仿宋" w:hAnsi="仿宋" w:eastAsia="仿宋"/>
          <w:sz w:val="32"/>
          <w:szCs w:val="32"/>
        </w:rPr>
        <w:t>，严格按照文件要求，实事求是、客观公正地进行绩效评价工作。赴现场收集有关资料。</w:t>
      </w:r>
      <w:r>
        <w:rPr>
          <w:rFonts w:hint="eastAsia" w:ascii="仿宋" w:hAnsi="仿宋" w:eastAsia="仿宋"/>
          <w:sz w:val="32"/>
          <w:szCs w:val="32"/>
          <w:lang w:eastAsia="zh-CN"/>
        </w:rPr>
        <w:t>通过对绩效目标进行审核确认，</w:t>
      </w:r>
      <w:r>
        <w:rPr>
          <w:rFonts w:hint="eastAsia" w:ascii="仿宋" w:hAnsi="仿宋" w:eastAsia="仿宋"/>
          <w:sz w:val="32"/>
          <w:szCs w:val="32"/>
        </w:rPr>
        <w:t>调查走访项目周边群众及单位，</w:t>
      </w:r>
      <w:r>
        <w:rPr>
          <w:rFonts w:hint="eastAsia" w:ascii="仿宋" w:hAnsi="仿宋" w:eastAsia="仿宋"/>
          <w:sz w:val="32"/>
          <w:szCs w:val="32"/>
          <w:lang w:eastAsia="zh-CN"/>
        </w:rPr>
        <w:t>组织各相关部门进行</w:t>
      </w:r>
      <w:r>
        <w:rPr>
          <w:rFonts w:hint="eastAsia" w:ascii="仿宋" w:hAnsi="仿宋" w:eastAsia="仿宋"/>
          <w:sz w:val="32"/>
          <w:szCs w:val="32"/>
        </w:rPr>
        <w:t>共同讨论、组织统一评价报告</w:t>
      </w:r>
      <w:r>
        <w:rPr>
          <w:rFonts w:hint="eastAsia" w:ascii="仿宋" w:hAnsi="仿宋" w:eastAsia="仿宋"/>
          <w:sz w:val="32"/>
          <w:szCs w:val="32"/>
          <w:lang w:eastAsia="zh-CN"/>
        </w:rPr>
        <w:t>。</w:t>
      </w:r>
      <w:bookmarkStart w:id="0" w:name="_GoBack"/>
      <w:bookmarkEnd w:id="0"/>
    </w:p>
    <w:p>
      <w:pPr>
        <w:spacing w:line="360" w:lineRule="auto"/>
        <w:ind w:firstLine="576" w:firstLineChars="180"/>
        <w:rPr>
          <w:rFonts w:ascii="仿宋" w:hAnsi="仿宋" w:eastAsia="仿宋"/>
          <w:sz w:val="32"/>
          <w:szCs w:val="32"/>
        </w:rPr>
      </w:pPr>
      <w:r>
        <w:rPr>
          <w:rFonts w:hint="eastAsia" w:ascii="仿宋" w:hAnsi="仿宋" w:eastAsia="仿宋"/>
          <w:sz w:val="32"/>
          <w:szCs w:val="32"/>
        </w:rPr>
        <w:t>通过绩效评价，加强财政支出管理，强化支出责任，提高财政资金的使用效益。根据绩效评价中发现的问题，及时调整和优化本部门以后年度预算支出的方向和结构，加强财务管理，合理配置资源。</w:t>
      </w:r>
    </w:p>
    <w:p>
      <w:pPr>
        <w:numPr>
          <w:ilvl w:val="0"/>
          <w:numId w:val="2"/>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pPr>
        <w:spacing w:line="360" w:lineRule="auto"/>
        <w:ind w:firstLine="576" w:firstLineChars="180"/>
        <w:rPr>
          <w:rFonts w:ascii="仿宋" w:hAnsi="仿宋" w:eastAsia="仿宋"/>
          <w:sz w:val="32"/>
          <w:szCs w:val="32"/>
        </w:rPr>
      </w:pPr>
      <w:r>
        <w:rPr>
          <w:rFonts w:hint="eastAsia" w:ascii="仿宋" w:hAnsi="仿宋" w:eastAsia="仿宋"/>
          <w:sz w:val="32"/>
          <w:szCs w:val="32"/>
        </w:rPr>
        <w:t>评价方法：自我评价。在评价实施过程中，我们首先明确了每个阶段应该收集的信息，然后，由有关人员根据项目进度收集信息，及时进行汇总、整理，并对照绩效指标监控项目的完成情况。对于没有及时完成预期设定绩效指标的，及时调整工作方向和工作方法，确保绩效指标的顺利实施。建立健全各项财务管理制度和资金管理办法。</w:t>
      </w:r>
    </w:p>
    <w:p>
      <w:pPr>
        <w:spacing w:line="360" w:lineRule="auto"/>
        <w:ind w:firstLine="566" w:firstLineChars="177"/>
        <w:rPr>
          <w:rFonts w:ascii="仿宋" w:hAnsi="仿宋" w:eastAsia="仿宋"/>
          <w:sz w:val="32"/>
          <w:szCs w:val="32"/>
        </w:rPr>
      </w:pPr>
      <w:r>
        <w:rPr>
          <w:rFonts w:hint="eastAsia" w:ascii="仿宋" w:hAnsi="仿宋" w:eastAsia="仿宋"/>
          <w:sz w:val="32"/>
          <w:szCs w:val="32"/>
        </w:rPr>
        <w:t>实施过程</w:t>
      </w:r>
      <w:r>
        <w:rPr>
          <w:rFonts w:hint="eastAsia" w:ascii="仿宋" w:hAnsi="仿宋" w:eastAsia="仿宋"/>
          <w:sz w:val="32"/>
          <w:szCs w:val="32"/>
          <w:lang w:eastAsia="zh-CN"/>
        </w:rPr>
        <w:t>：</w:t>
      </w:r>
      <w:r>
        <w:rPr>
          <w:rFonts w:hint="eastAsia" w:ascii="仿宋" w:hAnsi="仿宋" w:eastAsia="仿宋"/>
          <w:sz w:val="32"/>
          <w:szCs w:val="32"/>
        </w:rPr>
        <w:t>1.前期准备</w:t>
      </w:r>
      <w:r>
        <w:rPr>
          <w:rFonts w:hint="eastAsia" w:ascii="仿宋" w:hAnsi="仿宋" w:eastAsia="仿宋"/>
          <w:sz w:val="32"/>
          <w:szCs w:val="32"/>
          <w:lang w:eastAsia="zh-CN"/>
        </w:rPr>
        <w:t>；</w:t>
      </w:r>
      <w:r>
        <w:rPr>
          <w:rFonts w:hint="eastAsia" w:ascii="仿宋" w:hAnsi="仿宋" w:eastAsia="仿宋"/>
          <w:sz w:val="32"/>
          <w:szCs w:val="32"/>
        </w:rPr>
        <w:t>按照省财政厅和省交通厅有关文件要求，为做好统一评价工作，分析单位提供的自评报告，并赴现场收集有关资料。2.组织实施</w:t>
      </w:r>
      <w:r>
        <w:rPr>
          <w:rFonts w:hint="eastAsia" w:ascii="仿宋" w:hAnsi="仿宋" w:eastAsia="仿宋"/>
          <w:sz w:val="32"/>
          <w:szCs w:val="32"/>
          <w:lang w:eastAsia="zh-CN"/>
        </w:rPr>
        <w:t>；</w:t>
      </w:r>
      <w:r>
        <w:rPr>
          <w:rFonts w:hint="eastAsia" w:ascii="仿宋" w:hAnsi="仿宋" w:eastAsia="仿宋"/>
          <w:sz w:val="32"/>
          <w:szCs w:val="32"/>
        </w:rPr>
        <w:t>对项目单位自评报告中的数据及相关情况进行审核、确认，调查走访项目周边群众及单位，严格按照文件要求，实事求是、客观公正地进行本次绩效评价统一评价工作。3.分析评价</w:t>
      </w:r>
      <w:r>
        <w:rPr>
          <w:rFonts w:hint="eastAsia" w:ascii="仿宋" w:hAnsi="仿宋" w:eastAsia="仿宋"/>
          <w:sz w:val="32"/>
          <w:szCs w:val="32"/>
          <w:lang w:eastAsia="zh-CN"/>
        </w:rPr>
        <w:t>；</w:t>
      </w:r>
      <w:r>
        <w:rPr>
          <w:rFonts w:hint="eastAsia" w:ascii="仿宋" w:hAnsi="仿宋" w:eastAsia="仿宋"/>
          <w:sz w:val="32"/>
          <w:szCs w:val="32"/>
        </w:rPr>
        <w:t>各部门共同讨论、组织统一评价报告，严格按照文件要求，实事求是、客观公正地进行本次绩效评价工作。</w:t>
      </w:r>
    </w:p>
    <w:p>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在开展预算自评工作时，针对具体绩效评价对象的特点，设计能够体现项目特点绩效评价指标体系</w:t>
      </w:r>
      <w:r>
        <w:rPr>
          <w:rFonts w:hint="eastAsia" w:ascii="仿宋" w:hAnsi="仿宋" w:eastAsia="仿宋"/>
          <w:sz w:val="32"/>
          <w:szCs w:val="32"/>
          <w:lang w:eastAsia="zh-CN"/>
        </w:rPr>
        <w:t>，</w:t>
      </w:r>
      <w:r>
        <w:rPr>
          <w:rFonts w:hint="eastAsia" w:ascii="仿宋" w:hAnsi="仿宋" w:eastAsia="仿宋"/>
          <w:sz w:val="32"/>
          <w:szCs w:val="32"/>
        </w:rPr>
        <w:t>总分设定为100分。指标权重设置为：产出指标40分（数量、质量、时效、成本）、预算执行率指标10分、效益指标40分（经济效益、社会效益、生态效益、可持续影响）、满意度指标10分。</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二、三级指标所占权重根据指标重要程度、项目实施阶段等因素综合确定，准确反映预算项目的产出和效果。</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同类评价对象的指标权重设置应当基本一致，便于评价结果相互比较。</w:t>
      </w:r>
    </w:p>
    <w:p>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pPr>
        <w:numPr>
          <w:ilvl w:val="0"/>
          <w:numId w:val="3"/>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该项目</w:t>
      </w:r>
      <w:r>
        <w:rPr>
          <w:rFonts w:hint="eastAsia" w:ascii="仿宋" w:hAnsi="仿宋" w:eastAsia="仿宋"/>
          <w:sz w:val="32"/>
          <w:szCs w:val="32"/>
          <w:highlight w:val="none"/>
          <w:lang w:val="en-US" w:eastAsia="zh-CN"/>
        </w:rPr>
        <w:t>2024年安排预算资金是3391万元，到位3391万元，</w:t>
      </w:r>
      <w:r>
        <w:rPr>
          <w:rFonts w:hint="eastAsia" w:ascii="仿宋" w:hAnsi="仿宋" w:eastAsia="仿宋"/>
          <w:sz w:val="32"/>
          <w:szCs w:val="32"/>
          <w:highlight w:val="none"/>
        </w:rPr>
        <w:t>执行</w:t>
      </w:r>
      <w:r>
        <w:rPr>
          <w:rFonts w:hint="eastAsia" w:ascii="仿宋" w:hAnsi="仿宋" w:eastAsia="仿宋"/>
          <w:sz w:val="32"/>
          <w:szCs w:val="32"/>
          <w:highlight w:val="none"/>
          <w:lang w:val="en-US" w:eastAsia="zh-CN"/>
        </w:rPr>
        <w:t>3391万元，预算执行率100%，</w:t>
      </w:r>
      <w:r>
        <w:rPr>
          <w:rFonts w:hint="eastAsia" w:ascii="仿宋" w:hAnsi="仿宋" w:eastAsia="仿宋"/>
          <w:sz w:val="32"/>
          <w:szCs w:val="32"/>
          <w:highlight w:val="none"/>
        </w:rPr>
        <w:t>根据指标体系评分标准计算分值</w:t>
      </w:r>
      <w:r>
        <w:rPr>
          <w:rFonts w:hint="eastAsia" w:ascii="仿宋" w:hAnsi="仿宋" w:eastAsia="仿宋"/>
          <w:sz w:val="32"/>
          <w:szCs w:val="32"/>
          <w:highlight w:val="none"/>
          <w:lang w:eastAsia="zh-CN"/>
        </w:rPr>
        <w:t>是</w:t>
      </w:r>
      <w:r>
        <w:rPr>
          <w:rFonts w:hint="eastAsia" w:ascii="仿宋" w:hAnsi="仿宋" w:eastAsia="仿宋"/>
          <w:sz w:val="32"/>
          <w:szCs w:val="32"/>
          <w:highlight w:val="none"/>
          <w:lang w:val="en-US" w:eastAsia="zh-CN"/>
        </w:rPr>
        <w:t>10分。</w:t>
      </w:r>
    </w:p>
    <w:p>
      <w:pPr>
        <w:spacing w:line="560" w:lineRule="exact"/>
        <w:rPr>
          <w:rFonts w:ascii="楷体" w:hAnsi="楷体" w:eastAsia="楷体"/>
          <w:bCs/>
          <w:sz w:val="32"/>
          <w:szCs w:val="32"/>
          <w:highlight w:val="none"/>
        </w:rPr>
      </w:pPr>
      <w:r>
        <w:rPr>
          <w:rFonts w:hint="eastAsia" w:ascii="仿宋" w:hAnsi="仿宋" w:eastAsia="仿宋" w:cs="楷体_GB2312"/>
          <w:b/>
          <w:bCs/>
          <w:sz w:val="32"/>
          <w:szCs w:val="32"/>
          <w:highlight w:val="none"/>
        </w:rPr>
        <w:t xml:space="preserve">    </w:t>
      </w:r>
      <w:r>
        <w:rPr>
          <w:rFonts w:hint="eastAsia" w:ascii="楷体" w:hAnsi="楷体" w:eastAsia="楷体" w:cs="楷体_GB2312"/>
          <w:bCs/>
          <w:sz w:val="32"/>
          <w:szCs w:val="32"/>
          <w:highlight w:val="none"/>
        </w:rPr>
        <w:t>（二）项目产出</w:t>
      </w:r>
    </w:p>
    <w:p>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本项目</w:t>
      </w:r>
      <w:r>
        <w:rPr>
          <w:rFonts w:hint="eastAsia" w:ascii="仿宋" w:hAnsi="仿宋" w:eastAsia="仿宋"/>
          <w:sz w:val="32"/>
          <w:szCs w:val="32"/>
        </w:rPr>
        <w:t>实际完成数量、质量、</w:t>
      </w:r>
      <w:r>
        <w:rPr>
          <w:rFonts w:hint="eastAsia" w:ascii="仿宋" w:hAnsi="仿宋" w:eastAsia="仿宋"/>
          <w:sz w:val="32"/>
          <w:szCs w:val="32"/>
          <w:lang w:eastAsia="zh-CN"/>
        </w:rPr>
        <w:t>时效</w:t>
      </w:r>
      <w:r>
        <w:rPr>
          <w:rFonts w:hint="eastAsia" w:ascii="仿宋" w:hAnsi="仿宋" w:eastAsia="仿宋"/>
          <w:sz w:val="32"/>
          <w:szCs w:val="32"/>
        </w:rPr>
        <w:t>、成本</w:t>
      </w:r>
      <w:r>
        <w:rPr>
          <w:rFonts w:hint="eastAsia" w:ascii="仿宋" w:hAnsi="仿宋" w:eastAsia="仿宋"/>
          <w:sz w:val="32"/>
          <w:szCs w:val="32"/>
          <w:lang w:eastAsia="zh-CN"/>
        </w:rPr>
        <w:t>指标均得</w:t>
      </w:r>
      <w:r>
        <w:rPr>
          <w:rFonts w:hint="eastAsia" w:ascii="仿宋" w:hAnsi="仿宋" w:eastAsia="仿宋"/>
          <w:sz w:val="32"/>
          <w:szCs w:val="32"/>
          <w:lang w:val="en-US" w:eastAsia="zh-CN"/>
        </w:rPr>
        <w:t>10分。</w:t>
      </w:r>
    </w:p>
    <w:p>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（三）项目效益</w:t>
      </w:r>
    </w:p>
    <w:p>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本项目的</w:t>
      </w:r>
      <w:r>
        <w:rPr>
          <w:rFonts w:hint="eastAsia" w:ascii="仿宋" w:hAnsi="仿宋" w:eastAsia="仿宋"/>
          <w:sz w:val="32"/>
          <w:szCs w:val="32"/>
        </w:rPr>
        <w:t>经济效益、社会效益、生态效益、可持续影响</w:t>
      </w:r>
      <w:r>
        <w:rPr>
          <w:rFonts w:hint="eastAsia" w:ascii="仿宋" w:hAnsi="仿宋" w:eastAsia="仿宋"/>
          <w:sz w:val="32"/>
          <w:szCs w:val="32"/>
          <w:lang w:eastAsia="zh-CN"/>
        </w:rPr>
        <w:t>指标均得</w:t>
      </w:r>
      <w:r>
        <w:rPr>
          <w:rFonts w:hint="eastAsia" w:ascii="仿宋" w:hAnsi="仿宋" w:eastAsia="仿宋"/>
          <w:sz w:val="32"/>
          <w:szCs w:val="32"/>
          <w:lang w:val="en-US" w:eastAsia="zh-CN"/>
        </w:rPr>
        <w:t>10分。</w:t>
      </w:r>
    </w:p>
    <w:p>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本</w:t>
      </w:r>
      <w:r>
        <w:rPr>
          <w:rFonts w:hint="eastAsia" w:ascii="仿宋" w:hAnsi="仿宋" w:eastAsia="仿宋"/>
          <w:sz w:val="32"/>
          <w:szCs w:val="32"/>
        </w:rPr>
        <w:t>项目社会公众或服务对象满意度</w:t>
      </w:r>
      <w:r>
        <w:rPr>
          <w:rFonts w:hint="eastAsia" w:ascii="仿宋" w:hAnsi="仿宋" w:eastAsia="仿宋"/>
          <w:sz w:val="32"/>
          <w:szCs w:val="32"/>
          <w:lang w:eastAsia="zh-CN"/>
        </w:rPr>
        <w:t>得</w:t>
      </w:r>
      <w:r>
        <w:rPr>
          <w:rFonts w:hint="eastAsia" w:ascii="仿宋" w:hAnsi="仿宋" w:eastAsia="仿宋"/>
          <w:sz w:val="32"/>
          <w:szCs w:val="32"/>
          <w:lang w:val="en-US" w:eastAsia="zh-CN"/>
        </w:rPr>
        <w:t>10分</w:t>
      </w:r>
    </w:p>
    <w:p>
      <w:pPr>
        <w:pStyle w:val="6"/>
        <w:widowControl/>
        <w:ind w:firstLine="640"/>
        <w:rPr>
          <w:rFonts w:hint="eastAsia" w:ascii="仿宋" w:hAnsi="仿宋" w:eastAsia="仿宋"/>
          <w:sz w:val="32"/>
          <w:szCs w:val="32"/>
          <w:lang w:eastAsia="zh-CN"/>
        </w:rPr>
      </w:pPr>
      <w:r>
        <w:rPr>
          <w:rFonts w:hint="eastAsia" w:ascii="仿宋" w:hAnsi="仿宋" w:eastAsia="仿宋"/>
          <w:sz w:val="32"/>
          <w:szCs w:val="32"/>
          <w:lang w:eastAsia="zh-CN"/>
        </w:rPr>
        <w:t>我中心年初制定的产出指标、效益指标、满意度指标、预算执行率方面的绩效指标包括了数量、质量、时效、成本、经济效益、社会效益、群众满意度等方面的指标，较为完整的制定了绩效指标，绩效目标设置的较为科学合理，能够较为充分反应项目的实施水平及项目实施完成后取得的成效，能较为深入的分析绩效目标，也能真实客观的反应项目实施的完成情况。</w:t>
      </w:r>
    </w:p>
    <w:p>
      <w:pPr>
        <w:snapToGrid w:val="0"/>
        <w:spacing w:line="580" w:lineRule="exact"/>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与年初制定的绩效目标比较发现，我中心设置的绩效目标较为完整，基本保证绩效目标实现率达90%以上。</w:t>
      </w:r>
    </w:p>
    <w:p>
      <w:pPr>
        <w:snapToGrid w:val="0"/>
        <w:spacing w:line="580" w:lineRule="exact"/>
        <w:ind w:firstLine="640" w:firstLineChars="200"/>
        <w:rPr>
          <w:rFonts w:hint="default" w:ascii="仿宋" w:hAnsi="仿宋" w:eastAsia="仿宋" w:cs="Times New Roman"/>
          <w:kern w:val="2"/>
          <w:sz w:val="32"/>
          <w:szCs w:val="32"/>
          <w:lang w:val="en-US" w:eastAsia="zh-CN" w:bidi="ar-SA"/>
        </w:rPr>
      </w:pPr>
      <w:r>
        <w:rPr>
          <w:rFonts w:hint="eastAsia" w:ascii="仿宋" w:hAnsi="仿宋" w:eastAsia="仿宋"/>
          <w:sz w:val="32"/>
          <w:szCs w:val="32"/>
        </w:rPr>
        <w:t>项目的绩效目标科学、明确，具有量化目标、可操作性强。项目在实施过程中，严格执行了财政制度、法律法规，制定了完善的规章制度及实施计划，风险控制严密。按期完成工程任务，工程质量良好。</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pPr>
        <w:spacing w:line="360" w:lineRule="auto"/>
        <w:ind w:firstLine="640" w:firstLineChars="200"/>
        <w:rPr>
          <w:rFonts w:ascii="仿宋" w:hAnsi="仿宋" w:eastAsia="仿宋"/>
          <w:sz w:val="32"/>
          <w:szCs w:val="32"/>
        </w:rPr>
      </w:pPr>
      <w:r>
        <w:rPr>
          <w:rFonts w:hint="eastAsia" w:ascii="仿宋" w:hAnsi="仿宋" w:eastAsia="仿宋"/>
          <w:sz w:val="32"/>
          <w:szCs w:val="32"/>
        </w:rPr>
        <w:t>该项目管理组织以及施工情况良好，资金按时足额到位以及支付。建议将该项目良好的管理经验应用到其他项目，提高管理效率。本项目制定了战略规划，规划符合省政府的经济社会总体目标，项目经省交通厅公路管理局批复了初步设计和施工图设计。项目的绩效目标科学、明确，具有量化目标、可操作性强。项目在实施过程中，严格执行了财政制度、法律法规，制定了完善的规章制度及实施计划，风险控制严密。按期完成工程任务，工程质量良好。</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无</w:t>
      </w:r>
    </w:p>
    <w:p>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pPr>
        <w:spacing w:line="560" w:lineRule="exact"/>
        <w:ind w:firstLine="640" w:firstLineChars="200"/>
        <w:rPr>
          <w:rFonts w:hint="eastAsia" w:ascii="楷体" w:hAnsi="楷体" w:eastAsia="楷体"/>
          <w:bCs/>
          <w:sz w:val="32"/>
          <w:szCs w:val="32"/>
        </w:rPr>
      </w:pPr>
      <w:r>
        <w:rPr>
          <w:rFonts w:hint="eastAsia" w:ascii="仿宋" w:hAnsi="仿宋" w:eastAsia="仿宋"/>
          <w:sz w:val="32"/>
          <w:szCs w:val="32"/>
          <w:lang w:eastAsia="zh-CN"/>
        </w:rPr>
        <w:t>建议在今后的养护工程项目实施过程中，细化公路设计，结合当地公路沿线发展特色和需求，进一步提升群众满意度。</w:t>
      </w:r>
    </w:p>
    <w:p>
      <w:pPr>
        <w:spacing w:line="560" w:lineRule="exact"/>
        <w:rPr>
          <w:rFonts w:ascii="仿宋" w:hAnsi="仿宋" w:eastAsia="仿宋"/>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DEF070"/>
    <w:multiLevelType w:val="singleLevel"/>
    <w:tmpl w:val="ADDEF070"/>
    <w:lvl w:ilvl="0" w:tentative="0">
      <w:start w:val="2"/>
      <w:numFmt w:val="chineseCounting"/>
      <w:suff w:val="nothing"/>
      <w:lvlText w:val="（%1）"/>
      <w:lvlJc w:val="left"/>
      <w:rPr>
        <w:rFonts w:hint="eastAsia"/>
      </w:rPr>
    </w:lvl>
  </w:abstractNum>
  <w:abstractNum w:abstractNumId="1">
    <w:nsid w:val="40B9509B"/>
    <w:multiLevelType w:val="singleLevel"/>
    <w:tmpl w:val="40B9509B"/>
    <w:lvl w:ilvl="0" w:tentative="0">
      <w:start w:val="2"/>
      <w:numFmt w:val="decimal"/>
      <w:lvlText w:val="%1."/>
      <w:lvlJc w:val="left"/>
      <w:pPr>
        <w:tabs>
          <w:tab w:val="left" w:pos="312"/>
        </w:tabs>
      </w:pPr>
    </w:lvl>
  </w:abstractNum>
  <w:abstractNum w:abstractNumId="2">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54A1273"/>
    <w:rsid w:val="0AF75CD8"/>
    <w:rsid w:val="0EB97A43"/>
    <w:rsid w:val="0EBD2122"/>
    <w:rsid w:val="11B71E6A"/>
    <w:rsid w:val="1AAF0063"/>
    <w:rsid w:val="1BE140DE"/>
    <w:rsid w:val="248C197D"/>
    <w:rsid w:val="252959AF"/>
    <w:rsid w:val="277A6671"/>
    <w:rsid w:val="292D35B7"/>
    <w:rsid w:val="33EB6CFF"/>
    <w:rsid w:val="37732B0D"/>
    <w:rsid w:val="3B625C0A"/>
    <w:rsid w:val="3CEE1963"/>
    <w:rsid w:val="512260B4"/>
    <w:rsid w:val="597244E8"/>
    <w:rsid w:val="5DA62BB3"/>
    <w:rsid w:val="62735B3F"/>
    <w:rsid w:val="66AF0CE5"/>
    <w:rsid w:val="68025E5D"/>
    <w:rsid w:val="6E5B14A6"/>
    <w:rsid w:val="7BB51E06"/>
    <w:rsid w:val="7C387F7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1061</Words>
  <Characters>1107</Characters>
  <Lines>7</Lines>
  <Paragraphs>2</Paragraphs>
  <TotalTime>26</TotalTime>
  <ScaleCrop>false</ScaleCrop>
  <LinksUpToDate>false</LinksUpToDate>
  <CharactersWithSpaces>1115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Administrator</cp:lastModifiedBy>
  <cp:lastPrinted>2024-03-06T07:38:00Z</cp:lastPrinted>
  <dcterms:modified xsi:type="dcterms:W3CDTF">2025-03-14T06:42:02Z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CF3A8BA4139C422EB901F5C05BDBA890_12</vt:lpwstr>
  </property>
  <property fmtid="{D5CDD505-2E9C-101B-9397-08002B2CF9AE}" pid="4" name="KSOTemplateDocerSaveRecord">
    <vt:lpwstr>eyJoZGlkIjoiODY2ODkwMDk1ODUwM2YzZjdlOWY4MDg3YThiYTM5NzQiLCJ1c2VySWQiOiIyMzAzOTE5NjMifQ==</vt:lpwstr>
  </property>
</Properties>
</file>