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lang w:val="en-US" w:eastAsia="zh-CN"/>
        </w:rPr>
        <w:t>城市交通发展奖励资金（新能源公交车运营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lang w:val="en-US" w:eastAsia="zh-CN"/>
        </w:rPr>
        <w:t>补贴）项目自评报告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560" w:lineRule="exact"/>
        <w:rPr>
          <w:rFonts w:ascii="华文楷体" w:eastAsia="华文楷体"/>
          <w:sz w:val="32"/>
          <w:szCs w:val="32"/>
        </w:rPr>
      </w:pP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根据《石家庄市市级部门项目绩效自评管理办法》（石财绩〔2020〕5号），遵循全面覆盖、程序简便、客观公正、公开透明的原则，对城市交通发展奖励资金（新能源公交车运营补贴）项目实施了财政绩效自评价，形成本评价报告。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rPr>
          <w:rFonts w:hint="eastAsia" w:ascii="黑体" w:hAnsi="黑体" w:eastAsia="黑体" w:cs="黑体"/>
          <w:b/>
          <w:bCs/>
          <w:sz w:val="32"/>
          <w:szCs w:val="36"/>
        </w:rPr>
      </w:pPr>
      <w:r>
        <w:rPr>
          <w:rFonts w:hint="eastAsia" w:ascii="黑体" w:hAnsi="黑体" w:eastAsia="黑体" w:cs="黑体"/>
          <w:sz w:val="32"/>
          <w:szCs w:val="32"/>
        </w:rPr>
        <w:t>一、项目</w:t>
      </w:r>
      <w:r>
        <w:rPr>
          <w:rFonts w:hint="eastAsia" w:ascii="黑体" w:hAnsi="黑体" w:eastAsia="黑体" w:cs="黑体"/>
          <w:sz w:val="32"/>
          <w:szCs w:val="36"/>
        </w:rPr>
        <w:t>基本情况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rPr>
          <w:rFonts w:hint="eastAsia" w:ascii="楷体" w:hAnsi="楷体" w:eastAsia="楷体" w:cs="楷体"/>
          <w:bCs/>
          <w:sz w:val="32"/>
          <w:szCs w:val="32"/>
        </w:rPr>
      </w:pPr>
      <w:r>
        <w:rPr>
          <w:rFonts w:hint="eastAsia" w:ascii="楷体" w:hAnsi="楷体" w:eastAsia="楷体" w:cs="楷体"/>
          <w:bCs/>
          <w:sz w:val="32"/>
          <w:szCs w:val="32"/>
        </w:rPr>
        <w:t>（一）项目概况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800" w:firstLineChars="25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1.项目实施单位及项目概况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城市交通发展奖励资金（新能源公交车运营补贴）项目实施单位是石家庄市公共交通集团有限责任公司（以下简称“公交集团”），公交集团是市属国有大型企业，始建于1956年，以经营城市公共交通和市辖县汽车客运为主。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为进一步加快新能源汽车推广应用，中央财政给予城市交通发展奖励资金（新能源公交车运营补贴），支持城市交通领域新能源车运营，鼓励支持新能源公交车和电池更新。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800" w:firstLineChars="25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项目主要实施内容和范围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560" w:lineRule="exact"/>
        <w:ind w:firstLine="640" w:firstLineChars="200"/>
        <w:jc w:val="left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根据河北省交通运输厅办公室《关于做好2023年度客运营运车辆基础数据统计工作的通知》文件要求，公交集团统计2023年1月1日至2023年12月31日相关数据，填写《交通运输专项资金预算项目申报明细表（城市交通发展奖励资金）》，上报2023年新能源公交车车辆总数3012辆，标台总数3657.9标台，新能源公交车车辆行驶里程13652.197682万公里，按车辆标台折算后的行驶里程16691.2038标台·万公里。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根据省财政厅《关于清算2024年农村客运补贴、城市交通发展奖励资金的通知》（冀财建〔2024〕161号）及分配方案，2024年11月7日收到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公交集团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城市交通发展奖励资金（新能源公交车运营补贴）5709.12万元。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800" w:firstLineChars="25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项目资金投入情况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城市交通发展奖励资金（新能源公交车运营补贴）预算指标5709.12万元，实际收到和支出财政资金5709.12万元，全部用于支持城市交通领域新能源车运营，鼓励支持新能源公交车和电池更新。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800" w:firstLineChars="250"/>
        <w:rPr>
          <w:rFonts w:hint="eastAsia" w:ascii="楷体" w:hAnsi="楷体" w:eastAsia="楷体" w:cs="楷体"/>
          <w:bCs/>
          <w:sz w:val="32"/>
          <w:szCs w:val="32"/>
        </w:rPr>
      </w:pPr>
      <w:r>
        <w:rPr>
          <w:rFonts w:hint="eastAsia" w:ascii="楷体" w:hAnsi="楷体" w:eastAsia="楷体" w:cs="楷体"/>
          <w:bCs/>
          <w:sz w:val="32"/>
          <w:szCs w:val="32"/>
        </w:rPr>
        <w:t>（二）项目预期绩效目标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rPr>
          <w:rFonts w:hint="default" w:ascii="Times New Roman" w:hAnsi="Times New Roman" w:eastAsia="仿宋_GB2312" w:cs="Times New Roman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项目预期绩效目标为支持城市交通领域新能源车运营，鼓励支持新能源公交车和电池更新。2023年购买纯电动公交车80辆，氢能源公交车10辆。2023年新增或更新城市公交车辆中新能源车占比为100%。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二、自评工作情况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27" w:firstLineChars="196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bCs/>
          <w:sz w:val="32"/>
          <w:szCs w:val="32"/>
        </w:rPr>
        <w:t>（一）自评的组织工作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560" w:lineRule="exact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    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为做好2025年度绩效自评工作，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eastAsia="zh-CN"/>
        </w:rPr>
        <w:t>公交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集团研究制定工作实施方案，专门成立了绩效评价工作领导小组，由集团党委委员、常务副总经理李建军任组长，成员由财务融资部、技术信息部、经营理部、客运服务部等管理部室相关负责人组成。领导小组统筹协调、精心筹划、密切配合，对2024年度财政资金进行了全面梳理，明确了评价项目内容和具体职责分工。各项负责人对照年初确定的绩效目标、指标和评价标准，结合项目完成情况，分别对我集团2024年度资金情况逐项进行了绩效自评，并汇总形成绩效自评报告。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rPr>
          <w:rFonts w:hint="eastAsia" w:ascii="楷体" w:hAnsi="楷体" w:eastAsia="楷体" w:cs="楷体"/>
          <w:bCs/>
          <w:sz w:val="32"/>
          <w:szCs w:val="32"/>
        </w:rPr>
      </w:pPr>
      <w:r>
        <w:rPr>
          <w:rFonts w:hint="eastAsia" w:ascii="楷体" w:hAnsi="楷体" w:eastAsia="楷体" w:cs="楷体"/>
          <w:bCs/>
          <w:sz w:val="32"/>
          <w:szCs w:val="32"/>
        </w:rPr>
        <w:t>（二）自评的方法和过程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为做好本次绩效评价工作，提高评价的质量和效率，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eastAsia="zh-CN"/>
        </w:rPr>
        <w:t>公交集团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研究制定工作实施方案，专门成立了绩效评价工作领导小组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。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对2024年度财政资金进行了全面梳理，明确了评价项目内容和具体职责分工。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编制绩效评价工作底稿，逐项进行反馈汇报，完成绩效评价指标体系，最终完成了《城市交通发展奖励资金（新能源公交车运营补贴）项目自评报告》。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rPr>
          <w:rFonts w:hint="eastAsia" w:ascii="楷体" w:hAnsi="楷体" w:eastAsia="楷体" w:cs="楷体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Cs/>
          <w:sz w:val="32"/>
          <w:szCs w:val="32"/>
        </w:rPr>
        <w:t>（三）建立绩效评价指标体系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公交</w:t>
      </w:r>
      <w:r>
        <w:rPr>
          <w:rFonts w:hint="default" w:ascii="Times New Roman" w:hAnsi="Times New Roman" w:eastAsia="仿宋_GB2312" w:cs="Times New Roman"/>
          <w:sz w:val="32"/>
          <w:szCs w:val="32"/>
        </w:rPr>
        <w:t>集团根据实际生产经营情况设计能够体现城市交通发展奖励资金（新能源公交车运营补贴）项目特点绩效评价指标体系。绩效指标权重根据评价对象实际情况确定，总分设定为100分。一级指标权重统一设置为：产出指标40分（包含数量、质量、时效、成本）、预算执行率指标10分、效益指标40分（社会效益）、满意度指标10分。二、三级指标所占权重根据指标重要程度、项目实施阶段等因素综合确定，准确反映预算项目的产出和效果。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560" w:lineRule="exact"/>
        <w:ind w:firstLine="640" w:firstLineChars="200"/>
        <w:rPr>
          <w:rFonts w:hint="eastAsia" w:ascii="黑体" w:hAnsi="黑体" w:eastAsia="黑体" w:cs="黑体"/>
          <w:b/>
          <w:bCs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三、项目执行及绩效实现情况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overflowPunct/>
        <w:topLinePunct w:val="0"/>
        <w:autoSpaceDE/>
        <w:autoSpaceDN/>
        <w:bidi w:val="0"/>
        <w:spacing w:line="560" w:lineRule="exact"/>
        <w:ind w:firstLine="640" w:firstLineChars="200"/>
        <w:rPr>
          <w:rFonts w:hint="eastAsia" w:ascii="楷体" w:hAnsi="楷体" w:eastAsia="楷体" w:cs="楷体"/>
          <w:bCs/>
          <w:sz w:val="32"/>
          <w:szCs w:val="32"/>
        </w:rPr>
      </w:pPr>
      <w:r>
        <w:rPr>
          <w:rFonts w:hint="eastAsia" w:ascii="楷体" w:hAnsi="楷体" w:eastAsia="楷体" w:cs="楷体"/>
          <w:bCs/>
          <w:sz w:val="32"/>
          <w:szCs w:val="32"/>
        </w:rPr>
        <w:t>预算执行情况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800" w:firstLineChars="25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城市交通发展奖励资金（新能源公交车运营补贴）预算指标5709.12万元，实际收到和支出财政资金5709.12万元，预算执行率达到100%。该项绩效评价指标得10分。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overflowPunct/>
        <w:topLinePunct w:val="0"/>
        <w:autoSpaceDE/>
        <w:autoSpaceDN/>
        <w:bidi w:val="0"/>
        <w:spacing w:line="560" w:lineRule="exact"/>
        <w:ind w:firstLine="640" w:firstLineChars="200"/>
        <w:rPr>
          <w:rFonts w:hint="eastAsia" w:ascii="楷体" w:hAnsi="楷体" w:eastAsia="楷体" w:cs="楷体"/>
          <w:bCs/>
          <w:sz w:val="32"/>
          <w:szCs w:val="32"/>
        </w:rPr>
      </w:pPr>
      <w:r>
        <w:rPr>
          <w:rFonts w:hint="eastAsia" w:ascii="楷体" w:hAnsi="楷体" w:eastAsia="楷体" w:cs="楷体"/>
          <w:bCs/>
          <w:sz w:val="32"/>
          <w:szCs w:val="32"/>
        </w:rPr>
        <w:t>项目产出</w:t>
      </w:r>
    </w:p>
    <w:p>
      <w:pPr>
        <w:pStyle w:val="2"/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560" w:lineRule="exact"/>
        <w:ind w:left="0" w:leftChars="0" w:firstLine="640" w:firstLineChars="200"/>
        <w:rPr>
          <w:rFonts w:hint="default" w:ascii="Times New Roman" w:hAnsi="Times New Roman" w:eastAsia="仿宋_GB2312" w:cs="Times New Roman"/>
          <w:kern w:val="2"/>
          <w:sz w:val="32"/>
          <w:szCs w:val="32"/>
        </w:rPr>
      </w:pP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/>
        </w:rPr>
        <w:t>1.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</w:rPr>
        <w:t>数量指标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560" w:lineRule="exact"/>
        <w:ind w:firstLine="640" w:firstLineChars="200"/>
        <w:jc w:val="left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从河北省道路客运数字化服务系统导出“2023年度新能源公交车运营明细表”，2023年新能源公交车车辆总数3012辆，标台总数3657.9标台，新能源公交车车辆行驶里程13652.19 7682万公里，按车辆标台折算后的行驶里程16691.2038标台·万公里，符合补贴要求，该项绩效评价指标得10分。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560" w:lineRule="exact"/>
        <w:ind w:firstLine="640" w:firstLineChars="200"/>
        <w:jc w:val="left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2.</w:t>
      </w:r>
      <w:r>
        <w:rPr>
          <w:rFonts w:hint="default" w:ascii="Times New Roman" w:hAnsi="Times New Roman" w:eastAsia="仿宋_GB2312" w:cs="Times New Roman"/>
          <w:sz w:val="32"/>
          <w:szCs w:val="32"/>
        </w:rPr>
        <w:t>质量指标</w:t>
      </w:r>
    </w:p>
    <w:p>
      <w:pPr>
        <w:pStyle w:val="2"/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560" w:lineRule="exact"/>
        <w:ind w:firstLine="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</w:rPr>
        <w:t xml:space="preserve">     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</w:rPr>
        <w:t>公交集团将收到的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城市交通发展奖励资金（新能源公交车运营补贴）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</w:rPr>
        <w:t>主要用于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车辆燃料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</w:rPr>
        <w:t>、设备更新、场站车辆信息化建等经营支出，</w:t>
      </w:r>
      <w:r>
        <w:rPr>
          <w:rFonts w:hint="default" w:ascii="Times New Roman" w:hAnsi="Times New Roman" w:eastAsia="仿宋_GB2312" w:cs="Times New Roman"/>
          <w:sz w:val="32"/>
          <w:szCs w:val="32"/>
        </w:rPr>
        <w:t>资金使用合规，该项绩效评价指标得10分。</w:t>
      </w:r>
    </w:p>
    <w:p>
      <w:pPr>
        <w:pStyle w:val="2"/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kern w:val="2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3.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</w:rPr>
        <w:t>时效指标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公交集团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于2024年11月7日收到城市交通发展奖励资金（新能源公交车运营补贴）5709.12万元。符合补贴要求，该指标得分10分。</w:t>
      </w:r>
    </w:p>
    <w:p>
      <w:pPr>
        <w:pStyle w:val="2"/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kern w:val="2"/>
          <w:sz w:val="32"/>
          <w:szCs w:val="32"/>
        </w:rPr>
      </w:pP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/>
        </w:rPr>
        <w:t>4.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</w:rPr>
        <w:t>成本指标</w:t>
      </w:r>
    </w:p>
    <w:p>
      <w:pPr>
        <w:pStyle w:val="2"/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kern w:val="2"/>
          <w:sz w:val="32"/>
          <w:szCs w:val="32"/>
        </w:rPr>
      </w:pPr>
      <w:r>
        <w:rPr>
          <w:rFonts w:hint="default" w:ascii="Times New Roman" w:hAnsi="Times New Roman" w:eastAsia="仿宋_GB2312" w:cs="Times New Roman"/>
          <w:kern w:val="2"/>
          <w:sz w:val="32"/>
          <w:szCs w:val="32"/>
        </w:rPr>
        <w:t>新能源公交车运营补贴标准为0.34元/标台公里，</w:t>
      </w:r>
      <w:r>
        <w:rPr>
          <w:rFonts w:hint="default" w:ascii="Times New Roman" w:hAnsi="Times New Roman" w:eastAsia="仿宋_GB2312" w:cs="Times New Roman"/>
          <w:sz w:val="32"/>
          <w:szCs w:val="32"/>
        </w:rPr>
        <w:t>符合补贴要求。国家公交都市建设示范城市补贴标准预期指标值为500万元/市，实际完成值为500万元/市。符合补贴要求，该项绩效评价指标得10分。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overflowPunct/>
        <w:topLinePunct w:val="0"/>
        <w:autoSpaceDE/>
        <w:autoSpaceDN/>
        <w:bidi w:val="0"/>
        <w:spacing w:line="560" w:lineRule="exact"/>
        <w:ind w:firstLine="640" w:firstLineChars="200"/>
        <w:rPr>
          <w:rFonts w:hint="eastAsia" w:ascii="楷体" w:hAnsi="楷体" w:eastAsia="楷体" w:cs="楷体"/>
          <w:bCs/>
          <w:sz w:val="32"/>
          <w:szCs w:val="32"/>
        </w:rPr>
      </w:pPr>
      <w:r>
        <w:rPr>
          <w:rFonts w:hint="eastAsia" w:ascii="楷体" w:hAnsi="楷体" w:eastAsia="楷体" w:cs="楷体"/>
          <w:bCs/>
          <w:sz w:val="32"/>
          <w:szCs w:val="32"/>
        </w:rPr>
        <w:t>项目效益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560" w:lineRule="exact"/>
        <w:ind w:firstLine="640" w:firstLineChars="200"/>
        <w:jc w:val="left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根据2023年公交集团车辆信息台账，2023年购买纯电动公交车80辆，氢能源公交车10辆。2023年新增或更新城市公交车辆中新能源车占比为100%。符合补贴要求，该项绩效评价指标得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4</w:t>
      </w:r>
      <w:r>
        <w:rPr>
          <w:rFonts w:hint="default" w:ascii="Times New Roman" w:hAnsi="Times New Roman" w:eastAsia="仿宋_GB2312" w:cs="Times New Roman"/>
          <w:sz w:val="32"/>
          <w:szCs w:val="32"/>
        </w:rPr>
        <w:t>0分。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560" w:lineRule="exact"/>
        <w:ind w:firstLine="640" w:firstLineChars="200"/>
        <w:rPr>
          <w:rFonts w:hint="eastAsia" w:ascii="楷体" w:hAnsi="楷体" w:eastAsia="楷体" w:cs="楷体"/>
          <w:bCs/>
          <w:sz w:val="32"/>
          <w:szCs w:val="32"/>
        </w:rPr>
      </w:pPr>
      <w:r>
        <w:rPr>
          <w:rFonts w:hint="eastAsia" w:ascii="楷体" w:hAnsi="楷体" w:eastAsia="楷体" w:cs="楷体"/>
          <w:bCs/>
          <w:sz w:val="32"/>
          <w:szCs w:val="32"/>
        </w:rPr>
        <w:t>（四）满意度</w:t>
      </w:r>
    </w:p>
    <w:p>
      <w:pPr>
        <w:pStyle w:val="2"/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kern w:val="2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为深入了解客运使用企业的满意度，进一步提升城市客运服务质量，公交集团针对客运使用企业开展了公交服务满意度调查。城市客运企业满意度为98%，符合补贴要求，该项绩效评价指标得10分。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560" w:lineRule="exact"/>
        <w:ind w:firstLine="640" w:firstLineChars="2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四、项目综合评价结论和评价等级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800" w:firstLineChars="25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根据项目执行情况和项目绩效情况，给出总得分100分，登记为“优秀”。2023年城市交通发展奖励资金（新能源公交车运营补贴）项目预算全部执行，项目为支持城市交通领域新能源车运营，鼓励支持新能源公交车和电池更新起到重要作用。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560" w:lineRule="exact"/>
        <w:ind w:firstLine="640" w:firstLineChars="2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五、存在的问题及改进措施</w:t>
      </w:r>
    </w:p>
    <w:p>
      <w:pPr>
        <w:pStyle w:val="2"/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560" w:lineRule="exact"/>
        <w:rPr>
          <w:rFonts w:hint="eastAsia" w:ascii="楷体" w:hAnsi="楷体" w:eastAsia="楷体" w:cs="楷体"/>
          <w:b w:val="0"/>
          <w:bCs/>
          <w:kern w:val="2"/>
          <w:sz w:val="32"/>
          <w:szCs w:val="32"/>
        </w:rPr>
      </w:pPr>
      <w:r>
        <w:rPr>
          <w:rFonts w:hint="eastAsia" w:ascii="楷体" w:hAnsi="楷体" w:eastAsia="楷体" w:cs="楷体"/>
          <w:b w:val="0"/>
          <w:bCs/>
          <w:kern w:val="2"/>
          <w:sz w:val="32"/>
          <w:szCs w:val="32"/>
        </w:rPr>
        <w:t>（一）存在的问题</w:t>
      </w:r>
    </w:p>
    <w:p>
      <w:pPr>
        <w:pStyle w:val="2"/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560" w:lineRule="exact"/>
        <w:ind w:firstLine="579" w:firstLineChars="181"/>
        <w:rPr>
          <w:rFonts w:hint="default" w:ascii="Times New Roman" w:hAnsi="Times New Roman" w:eastAsia="仿宋_GB2312" w:cs="Times New Roman"/>
          <w:kern w:val="2"/>
          <w:sz w:val="32"/>
          <w:szCs w:val="32"/>
        </w:rPr>
      </w:pPr>
      <w:r>
        <w:rPr>
          <w:rFonts w:hint="default" w:ascii="Times New Roman" w:hAnsi="Times New Roman" w:eastAsia="仿宋_GB2312" w:cs="Times New Roman"/>
          <w:kern w:val="2"/>
          <w:sz w:val="32"/>
          <w:szCs w:val="32"/>
        </w:rPr>
        <w:t>近年以来各地公交车停运现象爆发，保定公交、黄石鸿泰公交、山东菏泽曹县公交均因电池质量问题停运。公交集团会以此为鉴，提前筹划，避免因电池质量问题集中更换车辆，造成公交集团面临财务压力。</w:t>
      </w:r>
    </w:p>
    <w:p>
      <w:pPr>
        <w:pStyle w:val="2"/>
        <w:keepNext w:val="0"/>
        <w:keepLines w:val="0"/>
        <w:pageBreakBefore w:val="0"/>
        <w:numPr>
          <w:ilvl w:val="0"/>
          <w:numId w:val="3"/>
        </w:numPr>
        <w:kinsoku/>
        <w:overflowPunct/>
        <w:topLinePunct w:val="0"/>
        <w:autoSpaceDE/>
        <w:autoSpaceDN/>
        <w:bidi w:val="0"/>
        <w:spacing w:line="560" w:lineRule="exact"/>
        <w:rPr>
          <w:rFonts w:hint="eastAsia" w:ascii="楷体" w:hAnsi="楷体" w:eastAsia="楷体" w:cs="楷体"/>
          <w:b w:val="0"/>
          <w:bCs/>
          <w:kern w:val="2"/>
          <w:sz w:val="32"/>
          <w:szCs w:val="32"/>
        </w:rPr>
      </w:pPr>
      <w:r>
        <w:rPr>
          <w:rFonts w:hint="eastAsia" w:ascii="楷体" w:hAnsi="楷体" w:eastAsia="楷体" w:cs="楷体"/>
          <w:b w:val="0"/>
          <w:bCs/>
          <w:kern w:val="2"/>
          <w:sz w:val="32"/>
          <w:szCs w:val="32"/>
        </w:rPr>
        <w:t>改进措施</w:t>
      </w:r>
    </w:p>
    <w:p>
      <w:pPr>
        <w:pStyle w:val="2"/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kern w:val="2"/>
          <w:sz w:val="32"/>
          <w:szCs w:val="32"/>
        </w:rPr>
      </w:pP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/>
        </w:rPr>
        <w:t>1.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</w:rPr>
        <w:t>提前谋划，分批次更新车辆</w:t>
      </w:r>
    </w:p>
    <w:p>
      <w:pPr>
        <w:pStyle w:val="2"/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kern w:val="2"/>
          <w:sz w:val="32"/>
          <w:szCs w:val="32"/>
        </w:rPr>
      </w:pPr>
      <w:bookmarkStart w:id="0" w:name="OLE_LINK1"/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eastAsia="zh-CN"/>
        </w:rPr>
        <w:t>公交</w:t>
      </w:r>
      <w:bookmarkEnd w:id="0"/>
      <w:r>
        <w:rPr>
          <w:rFonts w:hint="default" w:ascii="Times New Roman" w:hAnsi="Times New Roman" w:eastAsia="仿宋_GB2312" w:cs="Times New Roman"/>
          <w:kern w:val="2"/>
          <w:sz w:val="32"/>
          <w:szCs w:val="32"/>
        </w:rPr>
        <w:t>集团将结合企业车辆状况及运营情况，分批采购，逐步更新，避免集中更新增加集团财务压力，降低对公交运营的影响。</w:t>
      </w:r>
    </w:p>
    <w:p>
      <w:pPr>
        <w:pStyle w:val="2"/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kern w:val="2"/>
          <w:sz w:val="32"/>
          <w:szCs w:val="32"/>
        </w:rPr>
      </w:pP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/>
        </w:rPr>
        <w:t>2.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</w:rPr>
        <w:t>加强车辆维护保养，提高电池的适用寿命</w:t>
      </w:r>
    </w:p>
    <w:p>
      <w:pPr>
        <w:pStyle w:val="2"/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kern w:val="2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eastAsia="zh-CN"/>
        </w:rPr>
        <w:t>公交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</w:rPr>
        <w:t>集团会加强新能源公交车的维护保养，特别是动力电池、动力电机和电控系统等高价值部件，提高电池的使用寿命和安全性。</w:t>
      </w:r>
    </w:p>
    <w:p>
      <w:pPr>
        <w:pStyle w:val="2"/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kern w:val="2"/>
          <w:sz w:val="32"/>
          <w:szCs w:val="32"/>
        </w:rPr>
      </w:pPr>
    </w:p>
    <w:p>
      <w:pPr>
        <w:pStyle w:val="2"/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kern w:val="2"/>
          <w:sz w:val="32"/>
          <w:szCs w:val="32"/>
        </w:rPr>
      </w:pP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560" w:lineRule="exact"/>
        <w:rPr>
          <w:rFonts w:hint="default" w:ascii="Times New Roman" w:hAnsi="Times New Roman" w:eastAsia="仿宋_GB2312" w:cs="Times New Roman"/>
        </w:rPr>
      </w:pPr>
      <w:bookmarkStart w:id="1" w:name="_GoBack"/>
      <w:bookmarkEnd w:id="1"/>
    </w:p>
    <w:sectPr>
      <w:footerReference r:id="rId3" w:type="default"/>
      <w:pgSz w:w="11906" w:h="16838"/>
      <w:pgMar w:top="1984" w:right="1474" w:bottom="2098" w:left="1587" w:header="851" w:footer="992" w:gutter="0"/>
      <w:pgNumType w:fmt="numberInDash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pict>
        <v:shape id="Quad Arrow 3073" o:spid="_x0000_s4097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>
                <w:pPr>
                  <w:snapToGrid w:val="0"/>
                  <w:rPr>
                    <w:sz w:val="18"/>
                  </w:rPr>
                </w:pPr>
                <w:r>
                  <w:rPr>
                    <w:rFonts w:hint="eastAsia" w:ascii="仿宋" w:hAnsi="仿宋" w:eastAsia="仿宋" w:cs="仿宋"/>
                    <w:sz w:val="28"/>
                    <w:szCs w:val="28"/>
                  </w:rPr>
                  <w:fldChar w:fldCharType="begin"/>
                </w:r>
                <w:r>
                  <w:rPr>
                    <w:rFonts w:hint="eastAsia" w:ascii="仿宋" w:hAnsi="仿宋" w:eastAsia="仿宋" w:cs="仿宋"/>
                    <w:sz w:val="28"/>
                    <w:szCs w:val="28"/>
                  </w:rPr>
                  <w:instrText xml:space="preserve"> PAGE  \* MERGEFORMAT </w:instrText>
                </w:r>
                <w:r>
                  <w:rPr>
                    <w:rFonts w:hint="eastAsia" w:ascii="仿宋" w:hAnsi="仿宋" w:eastAsia="仿宋" w:cs="仿宋"/>
                    <w:sz w:val="28"/>
                    <w:szCs w:val="28"/>
                  </w:rPr>
                  <w:fldChar w:fldCharType="separate"/>
                </w:r>
                <w:r>
                  <w:rPr>
                    <w:rFonts w:hint="eastAsia" w:ascii="仿宋" w:hAnsi="仿宋" w:eastAsia="仿宋" w:cs="仿宋"/>
                    <w:sz w:val="28"/>
                    <w:szCs w:val="28"/>
                  </w:rPr>
                  <w:t>- 6 -</w:t>
                </w:r>
                <w:r>
                  <w:rPr>
                    <w:rFonts w:hint="eastAsia" w:ascii="仿宋" w:hAnsi="仿宋" w:eastAsia="仿宋" w:cs="仿宋"/>
                    <w:sz w:val="28"/>
                    <w:szCs w:val="28"/>
                  </w:rPr>
                  <w:fldChar w:fldCharType="end"/>
                </w:r>
              </w:p>
            </w:txbxContent>
          </v:textbox>
        </v:shape>
      </w:pic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5489B6"/>
    <w:multiLevelType w:val="singleLevel"/>
    <w:tmpl w:val="125489B6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48FBDABD"/>
    <w:multiLevelType w:val="singleLevel"/>
    <w:tmpl w:val="48FBDABD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5E68489B"/>
    <w:multiLevelType w:val="singleLevel"/>
    <w:tmpl w:val="5E68489B"/>
    <w:lvl w:ilvl="0" w:tentative="0">
      <w:start w:val="1"/>
      <w:numFmt w:val="chineseCounting"/>
      <w:suff w:val="nothing"/>
      <w:lvlText w:val="（%1）"/>
      <w:lvlJc w:val="left"/>
      <w:rPr>
        <w:rFonts w:ascii="楷体" w:hAnsi="楷体" w:eastAsia="楷体"/>
        <w:b w:val="0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1"/>
  <w:bordersDoNotSurroundHeader w:val="1"/>
  <w:bordersDoNotSurroundFooter w:val="1"/>
  <w:doNotTrackMoves/>
  <w:documentProtection w:enforcement="0"/>
  <w:defaultTabStop w:val="420"/>
  <w:drawingGridVerticalSpacing w:val="156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YzgxMzVhZTBlNDUyZWUxNDVhMjNkN2E1NjFlOTE5NDcifQ=="/>
  </w:docVars>
  <w:rsids>
    <w:rsidRoot w:val="0EBD2122"/>
    <w:rsid w:val="00023D2C"/>
    <w:rsid w:val="00073369"/>
    <w:rsid w:val="000D75AE"/>
    <w:rsid w:val="00117DDC"/>
    <w:rsid w:val="001349D3"/>
    <w:rsid w:val="00153239"/>
    <w:rsid w:val="00162D31"/>
    <w:rsid w:val="00165DE5"/>
    <w:rsid w:val="001B329A"/>
    <w:rsid w:val="001D1896"/>
    <w:rsid w:val="00222498"/>
    <w:rsid w:val="002D3D5B"/>
    <w:rsid w:val="00385CD6"/>
    <w:rsid w:val="003A628D"/>
    <w:rsid w:val="005C7E1D"/>
    <w:rsid w:val="00615B54"/>
    <w:rsid w:val="00632B89"/>
    <w:rsid w:val="006E5772"/>
    <w:rsid w:val="007059FB"/>
    <w:rsid w:val="00721C4E"/>
    <w:rsid w:val="007B0AB6"/>
    <w:rsid w:val="007E6C1F"/>
    <w:rsid w:val="008246DE"/>
    <w:rsid w:val="008B5355"/>
    <w:rsid w:val="009D34BA"/>
    <w:rsid w:val="009F2CBD"/>
    <w:rsid w:val="00AF566A"/>
    <w:rsid w:val="00B6553A"/>
    <w:rsid w:val="00BA410D"/>
    <w:rsid w:val="00BC557F"/>
    <w:rsid w:val="00BF17CD"/>
    <w:rsid w:val="00C82EDB"/>
    <w:rsid w:val="00DA62BA"/>
    <w:rsid w:val="00DE7128"/>
    <w:rsid w:val="00EA4CBF"/>
    <w:rsid w:val="00FB4FCF"/>
    <w:rsid w:val="02647B68"/>
    <w:rsid w:val="02B43A28"/>
    <w:rsid w:val="041F54FB"/>
    <w:rsid w:val="043A1AC4"/>
    <w:rsid w:val="051F632A"/>
    <w:rsid w:val="07E57478"/>
    <w:rsid w:val="081952B3"/>
    <w:rsid w:val="08A23AA5"/>
    <w:rsid w:val="08EF6AC2"/>
    <w:rsid w:val="099079F2"/>
    <w:rsid w:val="0AC74A65"/>
    <w:rsid w:val="0AE05CC8"/>
    <w:rsid w:val="0BCF75E0"/>
    <w:rsid w:val="0D7F359C"/>
    <w:rsid w:val="0EAB0769"/>
    <w:rsid w:val="0EB97A43"/>
    <w:rsid w:val="0EBD2122"/>
    <w:rsid w:val="118F39F0"/>
    <w:rsid w:val="11B71E6A"/>
    <w:rsid w:val="12A165D1"/>
    <w:rsid w:val="13953A10"/>
    <w:rsid w:val="174442D1"/>
    <w:rsid w:val="18FA4C8D"/>
    <w:rsid w:val="1AAF0063"/>
    <w:rsid w:val="1BE140DE"/>
    <w:rsid w:val="1C002178"/>
    <w:rsid w:val="1C4B7A3D"/>
    <w:rsid w:val="1DAD6826"/>
    <w:rsid w:val="203C5CAE"/>
    <w:rsid w:val="208B45EB"/>
    <w:rsid w:val="20C462AC"/>
    <w:rsid w:val="219940AB"/>
    <w:rsid w:val="220A3735"/>
    <w:rsid w:val="248C197D"/>
    <w:rsid w:val="252959AF"/>
    <w:rsid w:val="25C05C91"/>
    <w:rsid w:val="277A6671"/>
    <w:rsid w:val="282277E9"/>
    <w:rsid w:val="292D35B7"/>
    <w:rsid w:val="2CBD2819"/>
    <w:rsid w:val="2EB73006"/>
    <w:rsid w:val="308E5B4D"/>
    <w:rsid w:val="313D0993"/>
    <w:rsid w:val="31876F76"/>
    <w:rsid w:val="33EB6CFF"/>
    <w:rsid w:val="3405533D"/>
    <w:rsid w:val="3411315F"/>
    <w:rsid w:val="34803D02"/>
    <w:rsid w:val="351A6043"/>
    <w:rsid w:val="35431A3E"/>
    <w:rsid w:val="35C67614"/>
    <w:rsid w:val="35F47882"/>
    <w:rsid w:val="36914A2B"/>
    <w:rsid w:val="38E84D15"/>
    <w:rsid w:val="39202096"/>
    <w:rsid w:val="3B625C0A"/>
    <w:rsid w:val="3BE01F31"/>
    <w:rsid w:val="3CEE1963"/>
    <w:rsid w:val="3D3D457F"/>
    <w:rsid w:val="3F24442E"/>
    <w:rsid w:val="405530BA"/>
    <w:rsid w:val="4159263F"/>
    <w:rsid w:val="43401D6F"/>
    <w:rsid w:val="453B3D19"/>
    <w:rsid w:val="46162BD9"/>
    <w:rsid w:val="46235241"/>
    <w:rsid w:val="4657026F"/>
    <w:rsid w:val="47406574"/>
    <w:rsid w:val="48D4390B"/>
    <w:rsid w:val="4AEC627C"/>
    <w:rsid w:val="4B21035E"/>
    <w:rsid w:val="4D0C7EAB"/>
    <w:rsid w:val="512260B4"/>
    <w:rsid w:val="52017A2D"/>
    <w:rsid w:val="54272508"/>
    <w:rsid w:val="544C3957"/>
    <w:rsid w:val="54F50220"/>
    <w:rsid w:val="58407CFE"/>
    <w:rsid w:val="5875340D"/>
    <w:rsid w:val="597244E8"/>
    <w:rsid w:val="59746D2E"/>
    <w:rsid w:val="5DA62BB3"/>
    <w:rsid w:val="64396F06"/>
    <w:rsid w:val="652A31DB"/>
    <w:rsid w:val="6535082A"/>
    <w:rsid w:val="665B5478"/>
    <w:rsid w:val="66AF0CE5"/>
    <w:rsid w:val="68025E5D"/>
    <w:rsid w:val="6A2B4273"/>
    <w:rsid w:val="6BE60C41"/>
    <w:rsid w:val="6CB0280D"/>
    <w:rsid w:val="6E5B14A6"/>
    <w:rsid w:val="6FB33503"/>
    <w:rsid w:val="72B30A8F"/>
    <w:rsid w:val="73781822"/>
    <w:rsid w:val="74D9413E"/>
    <w:rsid w:val="752C46E7"/>
    <w:rsid w:val="755F7172"/>
    <w:rsid w:val="76E07C2C"/>
    <w:rsid w:val="79102556"/>
    <w:rsid w:val="79985D9B"/>
    <w:rsid w:val="7A025901"/>
    <w:rsid w:val="7BB51E06"/>
    <w:rsid w:val="7C387F7C"/>
    <w:rsid w:val="7CBE36ED"/>
    <w:rsid w:val="7D4623F5"/>
    <w:rsid w:val="7D4A603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Normal Indent1"/>
    <w:basedOn w:val="1"/>
    <w:qFormat/>
    <w:uiPriority w:val="0"/>
    <w:pPr>
      <w:adjustRightInd w:val="0"/>
      <w:spacing w:line="360" w:lineRule="atLeast"/>
      <w:ind w:firstLine="420"/>
      <w:jc w:val="left"/>
      <w:textAlignment w:val="baseline"/>
    </w:pPr>
    <w:rPr>
      <w:kern w:val="0"/>
      <w:sz w:val="25"/>
      <w:szCs w:val="20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rFonts w:ascii="Times New Roman" w:hAnsi="Times New Roman"/>
      <w:sz w:val="18"/>
    </w:rPr>
  </w:style>
  <w:style w:type="character" w:customStyle="1" w:styleId="7">
    <w:name w:val="font21"/>
    <w:basedOn w:val="6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2443</Words>
  <Characters>2654</Characters>
  <Lines>18</Lines>
  <Paragraphs>5</Paragraphs>
  <TotalTime>1</TotalTime>
  <ScaleCrop>false</ScaleCrop>
  <LinksUpToDate>false</LinksUpToDate>
  <CharactersWithSpaces>2665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2020-02-04T03:46:00Z</dcterms:created>
  <dc:creator>欣欣大人</dc:creator>
  <cp:lastModifiedBy>Administrator</cp:lastModifiedBy>
  <cp:lastPrinted>2025-03-17T07:10:00Z</cp:lastPrinted>
  <dcterms:modified xsi:type="dcterms:W3CDTF">2025-03-31T07:57:54Z</dcterms:modified>
  <dc:title>附件3：</dc:title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  <property fmtid="{D5CDD505-2E9C-101B-9397-08002B2CF9AE}" pid="3" name="ICV">
    <vt:lpwstr>CF3A8BA4139C422EB901F5C05BDBA890_12</vt:lpwstr>
  </property>
  <property fmtid="{D5CDD505-2E9C-101B-9397-08002B2CF9AE}" pid="4" name="KSOTemplateDocerSaveRecord">
    <vt:lpwstr>eyJoZGlkIjoiMmJjYWRiMGZjOTQyODQzNjkwMDY3NjA3NzQ4YWI4ODEiLCJ1c2VySWQiOiI2NDgwMTIzNzEifQ==</vt:lpwstr>
  </property>
</Properties>
</file>