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44"/>
          <w:szCs w:val="44"/>
          <w:lang w:val="en-US" w:eastAsia="zh-CN"/>
        </w:rPr>
      </w:pPr>
      <w:bookmarkStart w:id="0" w:name="_GoBack"/>
      <w:r>
        <w:rPr>
          <w:rFonts w:hint="eastAsia" w:asciiTheme="majorEastAsia" w:hAnsiTheme="majorEastAsia" w:eastAsiaTheme="majorEastAsia" w:cstheme="majorEastAsia"/>
          <w:b/>
          <w:bCs/>
          <w:sz w:val="44"/>
          <w:szCs w:val="44"/>
          <w:lang w:val="en-US" w:eastAsia="zh-CN"/>
        </w:rPr>
        <w:t>城市交通发展奖励资金（国家公交都市建设示范城市专项奖励资金）项目自评报告</w:t>
      </w:r>
    </w:p>
    <w:bookmarkEnd w:id="0"/>
    <w:p>
      <w:pPr>
        <w:keepNext w:val="0"/>
        <w:keepLines w:val="0"/>
        <w:pageBreakBefore w:val="0"/>
        <w:widowControl w:val="0"/>
        <w:kinsoku/>
        <w:overflowPunct/>
        <w:topLinePunct w:val="0"/>
        <w:autoSpaceDE/>
        <w:autoSpaceDN/>
        <w:bidi w:val="0"/>
        <w:spacing w:line="560" w:lineRule="exact"/>
        <w:rPr>
          <w:rFonts w:hint="default" w:ascii="Times New Roman" w:hAnsi="Times New Roman" w:eastAsia="华文楷体" w:cs="Times New Roman"/>
          <w:sz w:val="32"/>
          <w:szCs w:val="32"/>
        </w:rPr>
      </w:pP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石家庄市市级部门项目绩效自评管理办法》（石财绩〔2020〕5号），遵循全面覆盖、程序简便、客观公正、公开透明的原则，对城市交通发展奖励资金（国家公交都市建设示范城市专项奖励资金）项目实施了财政绩效自评价，形成本评价报告。</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黑体" w:cs="Times New Roman"/>
          <w:b/>
          <w:bCs/>
          <w:sz w:val="32"/>
          <w:szCs w:val="36"/>
        </w:rPr>
      </w:pPr>
      <w:r>
        <w:rPr>
          <w:rFonts w:hint="default" w:ascii="Times New Roman" w:hAnsi="Times New Roman" w:eastAsia="黑体" w:cs="Times New Roman"/>
          <w:sz w:val="32"/>
          <w:szCs w:val="32"/>
        </w:rPr>
        <w:t>一、项目</w:t>
      </w:r>
      <w:r>
        <w:rPr>
          <w:rFonts w:hint="default" w:ascii="Times New Roman" w:hAnsi="Times New Roman" w:eastAsia="黑体" w:cs="Times New Roman"/>
          <w:sz w:val="32"/>
          <w:szCs w:val="36"/>
        </w:rPr>
        <w:t>基本情况</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（一）项目概况</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1.项目概况</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为支持本省国家公交都市建设，中央财政给予城市交通发展奖励资金（国家公交都市建设示范城市专项奖励资金），支持国家公交都市建设和绿色货运配送示范城市建设。</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项目主要实施内容和范围</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河北省交通运输厅办公室《关于做好2023年度客运营运车辆基础数据统计工作的通知》文件要求，公交集团统计2023年1月1日至2023年12月31日相关数据，填写《交通运输专项资金预算项目申报明细表（城市交通发展奖励资金）》，上报我集团2023年新能源公交车车辆总数3012辆，标台总数3657.9标台，新能源公交车车辆行驶里程13652.197682万公里，按车辆标台折算后的行驶里程16691.2038标台·万公里。</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根据省财政厅《关于清算2024年农村客运补贴、城市交通发展奖励资金的通知》（冀财建〔2024〕161号）及</w:t>
      </w:r>
      <w:r>
        <w:rPr>
          <w:rFonts w:hint="default" w:ascii="Times New Roman" w:hAnsi="Times New Roman" w:eastAsia="仿宋_GB2312" w:cs="Times New Roman"/>
          <w:sz w:val="32"/>
          <w:szCs w:val="32"/>
          <w:lang w:eastAsia="zh-CN"/>
        </w:rPr>
        <w:t>资金</w:t>
      </w:r>
      <w:r>
        <w:rPr>
          <w:rFonts w:hint="default" w:ascii="Times New Roman" w:hAnsi="Times New Roman" w:eastAsia="仿宋_GB2312" w:cs="Times New Roman"/>
          <w:sz w:val="32"/>
          <w:szCs w:val="32"/>
        </w:rPr>
        <w:t>分配方案，</w:t>
      </w:r>
      <w:r>
        <w:rPr>
          <w:rFonts w:hint="default" w:ascii="Times New Roman" w:hAnsi="Times New Roman" w:eastAsia="仿宋_GB2312" w:cs="Times New Roman"/>
          <w:sz w:val="32"/>
          <w:szCs w:val="32"/>
          <w:lang w:eastAsia="zh-CN"/>
        </w:rPr>
        <w:t>完成</w:t>
      </w:r>
      <w:r>
        <w:rPr>
          <w:rFonts w:hint="default" w:ascii="Times New Roman" w:hAnsi="Times New Roman" w:eastAsia="仿宋_GB2312" w:cs="Times New Roman"/>
          <w:sz w:val="32"/>
          <w:szCs w:val="32"/>
        </w:rPr>
        <w:t>城市交通发展奖励资金（国家公交都市建设示范城市专项奖励资金）</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00万元</w:t>
      </w:r>
      <w:r>
        <w:rPr>
          <w:rFonts w:hint="default" w:ascii="Times New Roman" w:hAnsi="Times New Roman" w:eastAsia="仿宋_GB2312" w:cs="Times New Roman"/>
          <w:sz w:val="32"/>
          <w:szCs w:val="32"/>
          <w:lang w:eastAsia="zh-CN"/>
        </w:rPr>
        <w:t>支付</w:t>
      </w:r>
      <w:r>
        <w:rPr>
          <w:rFonts w:hint="default" w:ascii="Times New Roman" w:hAnsi="Times New Roman" w:eastAsia="仿宋_GB2312" w:cs="Times New Roman"/>
          <w:sz w:val="32"/>
          <w:szCs w:val="32"/>
        </w:rPr>
        <w:t>。</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项目资金投入情况</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城市交通发展奖励资金（国家公交都市建设示范城市专项奖励资金）预算指标</w:t>
      </w:r>
      <w:r>
        <w:rPr>
          <w:rFonts w:hint="default" w:ascii="Times New Roman" w:hAnsi="Times New Roman" w:eastAsia="仿宋_GB2312" w:cs="Times New Roman"/>
          <w:sz w:val="32"/>
          <w:szCs w:val="32"/>
          <w:lang w:val="en-US" w:eastAsia="zh-CN"/>
        </w:rPr>
        <w:t>800</w:t>
      </w:r>
      <w:r>
        <w:rPr>
          <w:rFonts w:hint="default" w:ascii="Times New Roman" w:hAnsi="Times New Roman" w:eastAsia="仿宋_GB2312" w:cs="Times New Roman"/>
          <w:sz w:val="32"/>
          <w:szCs w:val="32"/>
        </w:rPr>
        <w:t>万元，实际收到和支出财政资金</w:t>
      </w:r>
      <w:r>
        <w:rPr>
          <w:rFonts w:hint="default" w:ascii="Times New Roman" w:hAnsi="Times New Roman" w:eastAsia="仿宋_GB2312" w:cs="Times New Roman"/>
          <w:sz w:val="32"/>
          <w:szCs w:val="32"/>
          <w:lang w:val="en-US" w:eastAsia="zh-CN"/>
        </w:rPr>
        <w:t>800</w:t>
      </w:r>
      <w:r>
        <w:rPr>
          <w:rFonts w:hint="default" w:ascii="Times New Roman" w:hAnsi="Times New Roman" w:eastAsia="仿宋_GB2312" w:cs="Times New Roman"/>
          <w:sz w:val="32"/>
          <w:szCs w:val="32"/>
        </w:rPr>
        <w:t>万元，全部用于支持本省国家公交都市建设和绿色货运配送示范城市建设。</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（二）项目预期绩效目标</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预期绩效目标为支持城市交通领域新能源车运营，鼓励支持新能源公交车和电池更新；支持国家公交都市建设和绿色货运配送示范城市建设。2023年购买纯电动公交车80辆，氢能源公交车10辆。2023年新增或更新城市公交车辆中新能源车占比为100%。</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二、自评工作情况</w:t>
      </w:r>
    </w:p>
    <w:p>
      <w:pPr>
        <w:keepNext w:val="0"/>
        <w:keepLines w:val="0"/>
        <w:pageBreakBefore w:val="0"/>
        <w:widowControl w:val="0"/>
        <w:kinsoku/>
        <w:overflowPunct/>
        <w:topLinePunct w:val="0"/>
        <w:autoSpaceDE/>
        <w:autoSpaceDN/>
        <w:bidi w:val="0"/>
        <w:adjustRightInd w:val="0"/>
        <w:snapToGrid w:val="0"/>
        <w:spacing w:line="560" w:lineRule="exact"/>
        <w:ind w:firstLine="627" w:firstLineChars="196"/>
        <w:rPr>
          <w:rFonts w:hint="default" w:ascii="Times New Roman" w:hAnsi="Times New Roman" w:eastAsia="仿宋" w:cs="Times New Roman"/>
          <w:sz w:val="32"/>
          <w:szCs w:val="32"/>
        </w:rPr>
      </w:pPr>
      <w:r>
        <w:rPr>
          <w:rFonts w:hint="default" w:ascii="Times New Roman" w:hAnsi="Times New Roman" w:eastAsia="楷体" w:cs="Times New Roman"/>
          <w:bCs/>
          <w:sz w:val="32"/>
          <w:szCs w:val="32"/>
        </w:rPr>
        <w:t>（一）自评的组织工作</w:t>
      </w:r>
    </w:p>
    <w:p>
      <w:pPr>
        <w:keepNext w:val="0"/>
        <w:keepLines w:val="0"/>
        <w:pageBreakBefore w:val="0"/>
        <w:widowControl w:val="0"/>
        <w:kinsoku/>
        <w:overflowPunct/>
        <w:topLinePunct w:val="0"/>
        <w:autoSpaceDE/>
        <w:autoSpaceDN/>
        <w:bidi w:val="0"/>
        <w:spacing w:line="560" w:lineRule="exact"/>
        <w:rPr>
          <w:rFonts w:hint="default" w:ascii="Times New Roman" w:hAnsi="Times New Roman" w:eastAsia="仿宋_GB2312" w:cs="Times New Roman"/>
          <w:sz w:val="32"/>
          <w:szCs w:val="32"/>
        </w:rPr>
      </w:pP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sz w:val="32"/>
          <w:szCs w:val="32"/>
        </w:rPr>
        <w:t>为做好2025年度绩效自评工作，研究制定工作实施方案，</w:t>
      </w:r>
      <w:r>
        <w:rPr>
          <w:rFonts w:hint="default" w:ascii="Times New Roman" w:hAnsi="Times New Roman" w:eastAsia="仿宋_GB2312" w:cs="Times New Roman"/>
          <w:sz w:val="32"/>
          <w:szCs w:val="32"/>
          <w:lang w:eastAsia="zh-CN"/>
        </w:rPr>
        <w:t>市公交集团</w:t>
      </w:r>
      <w:r>
        <w:rPr>
          <w:rFonts w:hint="default" w:ascii="Times New Roman" w:hAnsi="Times New Roman" w:eastAsia="仿宋_GB2312" w:cs="Times New Roman"/>
          <w:sz w:val="32"/>
          <w:szCs w:val="32"/>
        </w:rPr>
        <w:t>专门成立了绩效评价工作领导小组，由集团党委委员、常务副总经理李建军任组长，成员由财务融资部、技术信息部、经营理部、客运服务部等管理部室相关负责人组成。领导小组统筹协调、精心筹划、密切配合，对2024年度财政资金进行了全面梳理，明确了评价项目内容和具体职责分工。各项负责人对照年初确定的绩效目标、指标和评价标准，结合项目完成情况，分别对我集团2024年度资金情况逐项进行了绩效自评，并汇总形成绩效自评报告。</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（二）自评的方法和过程</w:t>
      </w:r>
    </w:p>
    <w:p>
      <w:pPr>
        <w:keepNext w:val="0"/>
        <w:keepLines w:val="0"/>
        <w:pageBreakBefore w:val="0"/>
        <w:widowControl w:val="0"/>
        <w:kinsoku/>
        <w:overflowPunct/>
        <w:topLinePunct w:val="0"/>
        <w:autoSpaceDE/>
        <w:autoSpaceDN/>
        <w:bidi w:val="0"/>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为做好本次绩效评价工作，提高评价的质量和效率，市公交集团</w:t>
      </w:r>
      <w:r>
        <w:rPr>
          <w:rFonts w:hint="default" w:ascii="Times New Roman" w:hAnsi="Times New Roman" w:eastAsia="仿宋_GB2312" w:cs="Times New Roman"/>
          <w:sz w:val="32"/>
          <w:szCs w:val="32"/>
        </w:rPr>
        <w:t>研究制定工作实施方案，专门成立了绩效评价工作领导小组</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对2024年度财政资金进行了全面梳理，明确了评价项目内容和具体职责分工。</w:t>
      </w:r>
      <w:r>
        <w:rPr>
          <w:rFonts w:hint="default" w:ascii="Times New Roman" w:hAnsi="Times New Roman" w:eastAsia="仿宋_GB2312" w:cs="Times New Roman"/>
          <w:sz w:val="32"/>
          <w:szCs w:val="32"/>
          <w:lang w:eastAsia="zh-CN"/>
        </w:rPr>
        <w:t>编制绩效评价工作底稿，逐项进行反馈汇报，完成绩效评价指标体系，最终完成了《城市交通发展奖励资金（国家公交都市建设示范城市专项奖励资金）项目自评报告》。</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仿宋" w:cs="Times New Roman"/>
          <w:b/>
          <w:bCs/>
          <w:sz w:val="32"/>
          <w:szCs w:val="32"/>
        </w:rPr>
      </w:pPr>
      <w:r>
        <w:rPr>
          <w:rFonts w:hint="default" w:ascii="Times New Roman" w:hAnsi="Times New Roman" w:eastAsia="楷体" w:cs="Times New Roman"/>
          <w:bCs/>
          <w:sz w:val="32"/>
          <w:szCs w:val="32"/>
        </w:rPr>
        <w:t>（三）建立绩效评价指标体系</w:t>
      </w:r>
    </w:p>
    <w:p>
      <w:pPr>
        <w:keepNext w:val="0"/>
        <w:keepLines w:val="0"/>
        <w:pageBreakBefore w:val="0"/>
        <w:widowControl w:val="0"/>
        <w:kinsoku/>
        <w:overflowPunct/>
        <w:topLinePunct w:val="0"/>
        <w:autoSpaceDE/>
        <w:autoSpaceDN/>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实际生产经营情况设计能够体现城市交通发展奖励资金（国家公交都市建设示范城市专项奖励资金）项目特点绩效评价指标体系。绩效指标权重根据评价对象实际情况确定，总分设定为100分。一级指标权重统一设置为：产出指标40分（包含数量、质量、时效、成本）、预算执行率指标10分、效益指标40分（社会效益）、满意度指标10分。二、三级指标所占权重根据指标重要程度、项目实施阶段等因素综合确定，准确反映预算项目的产出和效果。</w:t>
      </w:r>
    </w:p>
    <w:p>
      <w:pPr>
        <w:keepNext w:val="0"/>
        <w:keepLines w:val="0"/>
        <w:pageBreakBefore w:val="0"/>
        <w:widowControl w:val="0"/>
        <w:kinsoku/>
        <w:overflowPunct/>
        <w:topLinePunct w:val="0"/>
        <w:autoSpaceDE/>
        <w:autoSpaceDN/>
        <w:bidi w:val="0"/>
        <w:spacing w:line="560" w:lineRule="exact"/>
        <w:ind w:firstLine="640" w:firstLineChars="200"/>
        <w:rPr>
          <w:rFonts w:hint="default" w:ascii="Times New Roman" w:hAnsi="Times New Roman" w:eastAsia="黑体" w:cs="Times New Roman"/>
          <w:b/>
          <w:bCs/>
          <w:sz w:val="32"/>
          <w:szCs w:val="32"/>
        </w:rPr>
      </w:pPr>
      <w:r>
        <w:rPr>
          <w:rFonts w:hint="default" w:ascii="Times New Roman" w:hAnsi="Times New Roman" w:eastAsia="黑体" w:cs="Times New Roman"/>
          <w:sz w:val="32"/>
          <w:szCs w:val="32"/>
        </w:rPr>
        <w:t>三、项目执行及绩效实现情况</w:t>
      </w:r>
    </w:p>
    <w:p>
      <w:pPr>
        <w:keepNext w:val="0"/>
        <w:keepLines w:val="0"/>
        <w:pageBreakBefore w:val="0"/>
        <w:widowControl w:val="0"/>
        <w:numPr>
          <w:ilvl w:val="0"/>
          <w:numId w:val="1"/>
        </w:numPr>
        <w:kinsoku/>
        <w:overflowPunct/>
        <w:topLinePunct w:val="0"/>
        <w:autoSpaceDE/>
        <w:autoSpaceDN/>
        <w:bidi w:val="0"/>
        <w:spacing w:line="560" w:lineRule="exact"/>
        <w:ind w:firstLine="640" w:firstLineChars="200"/>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预算执行情况</w:t>
      </w:r>
    </w:p>
    <w:p>
      <w:pPr>
        <w:keepNext w:val="0"/>
        <w:keepLines w:val="0"/>
        <w:pageBreakBefore w:val="0"/>
        <w:widowControl w:val="0"/>
        <w:kinsoku/>
        <w:overflowPunct/>
        <w:topLinePunct w:val="0"/>
        <w:autoSpaceDE/>
        <w:autoSpaceDN/>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城市交通发展奖励资金（国家公交都市建设示范城市专项奖励资金）预算指标</w:t>
      </w:r>
      <w:r>
        <w:rPr>
          <w:rFonts w:hint="default" w:ascii="Times New Roman" w:hAnsi="Times New Roman" w:eastAsia="仿宋_GB2312" w:cs="Times New Roman"/>
          <w:sz w:val="32"/>
          <w:szCs w:val="32"/>
          <w:lang w:val="en-US" w:eastAsia="zh-CN"/>
        </w:rPr>
        <w:t>800</w:t>
      </w:r>
      <w:r>
        <w:rPr>
          <w:rFonts w:hint="default" w:ascii="Times New Roman" w:hAnsi="Times New Roman" w:eastAsia="仿宋_GB2312" w:cs="Times New Roman"/>
          <w:sz w:val="32"/>
          <w:szCs w:val="32"/>
        </w:rPr>
        <w:t>万元，实际收到和支出财政资金</w:t>
      </w:r>
      <w:r>
        <w:rPr>
          <w:rFonts w:hint="default" w:ascii="Times New Roman" w:hAnsi="Times New Roman" w:eastAsia="仿宋_GB2312" w:cs="Times New Roman"/>
          <w:sz w:val="32"/>
          <w:szCs w:val="32"/>
          <w:lang w:val="en-US" w:eastAsia="zh-CN"/>
        </w:rPr>
        <w:t>800</w:t>
      </w:r>
      <w:r>
        <w:rPr>
          <w:rFonts w:hint="default" w:ascii="Times New Roman" w:hAnsi="Times New Roman" w:eastAsia="仿宋_GB2312" w:cs="Times New Roman"/>
          <w:sz w:val="32"/>
          <w:szCs w:val="32"/>
        </w:rPr>
        <w:t>万元，预算执行率达到100%。该项绩效评价指标得10分。</w:t>
      </w:r>
    </w:p>
    <w:p>
      <w:pPr>
        <w:keepNext w:val="0"/>
        <w:keepLines w:val="0"/>
        <w:pageBreakBefore w:val="0"/>
        <w:widowControl w:val="0"/>
        <w:numPr>
          <w:ilvl w:val="0"/>
          <w:numId w:val="1"/>
        </w:numPr>
        <w:kinsoku/>
        <w:overflowPunct/>
        <w:topLinePunct w:val="0"/>
        <w:autoSpaceDE/>
        <w:autoSpaceDN/>
        <w:bidi w:val="0"/>
        <w:spacing w:line="560" w:lineRule="exact"/>
        <w:ind w:firstLine="640" w:firstLineChars="200"/>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项目产出</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1.数量指标</w:t>
      </w:r>
    </w:p>
    <w:p>
      <w:pPr>
        <w:keepNext w:val="0"/>
        <w:keepLines w:val="0"/>
        <w:pageBreakBefore w:val="0"/>
        <w:widowControl w:val="0"/>
        <w:kinsoku/>
        <w:overflowPunct/>
        <w:topLinePunct w:val="0"/>
        <w:autoSpaceDE/>
        <w:autoSpaceDN/>
        <w:bidi w:val="0"/>
        <w:spacing w:line="560" w:lineRule="exact"/>
        <w:ind w:firstLine="640" w:firstLineChars="200"/>
        <w:jc w:val="left"/>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从河北省道路客运数字化服务系统导出“2023年度新能源公交车运营明细表”，2023年新能源公交车车辆总数3012辆，标台总数3657.9标台，新能源公交车车辆行驶里程13652.19 7682万公里，按车辆标台折算后的行驶里程16691.2038标台·万公里，符合补贴要求，该项绩效评价指标得10分。</w:t>
      </w:r>
    </w:p>
    <w:p>
      <w:pPr>
        <w:keepNext w:val="0"/>
        <w:keepLines w:val="0"/>
        <w:pageBreakBefore w:val="0"/>
        <w:widowControl w:val="0"/>
        <w:numPr>
          <w:ilvl w:val="0"/>
          <w:numId w:val="0"/>
        </w:numPr>
        <w:kinsoku/>
        <w:overflowPunct/>
        <w:topLinePunct w:val="0"/>
        <w:autoSpaceDE/>
        <w:autoSpaceDN/>
        <w:bidi w:val="0"/>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2.质量指标</w:t>
      </w:r>
    </w:p>
    <w:p>
      <w:pPr>
        <w:pStyle w:val="6"/>
        <w:keepNext w:val="0"/>
        <w:keepLines w:val="0"/>
        <w:pageBreakBefore w:val="0"/>
        <w:widowControl w:val="0"/>
        <w:kinsoku/>
        <w:overflowPunct/>
        <w:topLinePunct w:val="0"/>
        <w:autoSpaceDE/>
        <w:autoSpaceDN/>
        <w:bidi w:val="0"/>
        <w:spacing w:line="560" w:lineRule="exact"/>
        <w:ind w:firstLine="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 xml:space="preserve">     将收到的国家公交都市建设示范城市专项奖励资金主要用于车辆燃料、设备更新、场站车辆信息化建等经营支出，资金使用合规，该项绩效评价指标得10分。</w:t>
      </w:r>
    </w:p>
    <w:p>
      <w:pPr>
        <w:pStyle w:val="6"/>
        <w:keepNext w:val="0"/>
        <w:keepLines w:val="0"/>
        <w:pageBreakBefore w:val="0"/>
        <w:widowControl w:val="0"/>
        <w:numPr>
          <w:ilvl w:val="0"/>
          <w:numId w:val="0"/>
        </w:numPr>
        <w:kinsoku/>
        <w:overflowPunct/>
        <w:topLinePunct w:val="0"/>
        <w:autoSpaceDE/>
        <w:autoSpaceDN/>
        <w:bidi w:val="0"/>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3.时效指标</w:t>
      </w:r>
    </w:p>
    <w:p>
      <w:pPr>
        <w:keepNext w:val="0"/>
        <w:keepLines w:val="0"/>
        <w:pageBreakBefore w:val="0"/>
        <w:widowControl w:val="0"/>
        <w:kinsoku/>
        <w:overflowPunct/>
        <w:topLinePunct w:val="0"/>
        <w:autoSpaceDE/>
        <w:autoSpaceDN/>
        <w:bidi w:val="0"/>
        <w:adjustRightInd w:val="0"/>
        <w:snapToGrid w:val="0"/>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2024年收到上级部门给予城市交通发展奖励资金（国家公交都市建设示范城市专项奖励资金）800万元。</w:t>
      </w:r>
    </w:p>
    <w:p>
      <w:pPr>
        <w:pStyle w:val="6"/>
        <w:keepNext w:val="0"/>
        <w:keepLines w:val="0"/>
        <w:pageBreakBefore w:val="0"/>
        <w:widowControl w:val="0"/>
        <w:numPr>
          <w:ilvl w:val="0"/>
          <w:numId w:val="0"/>
        </w:numPr>
        <w:kinsoku/>
        <w:overflowPunct/>
        <w:topLinePunct w:val="0"/>
        <w:autoSpaceDE/>
        <w:autoSpaceDN/>
        <w:bidi w:val="0"/>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4.成本指标</w:t>
      </w:r>
    </w:p>
    <w:p>
      <w:pPr>
        <w:pStyle w:val="6"/>
        <w:keepNext w:val="0"/>
        <w:keepLines w:val="0"/>
        <w:pageBreakBefore w:val="0"/>
        <w:widowControl w:val="0"/>
        <w:kinsoku/>
        <w:overflowPunct/>
        <w:topLinePunct w:val="0"/>
        <w:autoSpaceDE/>
        <w:autoSpaceDN/>
        <w:bidi w:val="0"/>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新能源公交车运营补贴标准为0.34元/标台公里，符合补贴要求。国家公交都市建设示范城市补贴标准预期指标值为800万元/市，实际完成值为800万元/市。符合补贴要求，该项绩效评价指标得10分。</w:t>
      </w:r>
    </w:p>
    <w:p>
      <w:pPr>
        <w:keepNext w:val="0"/>
        <w:keepLines w:val="0"/>
        <w:pageBreakBefore w:val="0"/>
        <w:widowControl w:val="0"/>
        <w:numPr>
          <w:ilvl w:val="0"/>
          <w:numId w:val="1"/>
        </w:numPr>
        <w:kinsoku/>
        <w:overflowPunct/>
        <w:topLinePunct w:val="0"/>
        <w:autoSpaceDE/>
        <w:autoSpaceDN/>
        <w:bidi w:val="0"/>
        <w:spacing w:line="560" w:lineRule="exact"/>
        <w:ind w:firstLine="640" w:firstLineChars="200"/>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项目效益</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根据2023年公交集团车辆信息台账，2023年购买纯电动公交车80辆，氢能源公交车10辆。2023年新增或更新城市公交车辆中新能源车占比为100%。符合补贴要求，该项绩效评价指标得40分。</w:t>
      </w:r>
    </w:p>
    <w:p>
      <w:pPr>
        <w:keepNext w:val="0"/>
        <w:keepLines w:val="0"/>
        <w:pageBreakBefore w:val="0"/>
        <w:widowControl w:val="0"/>
        <w:kinsoku/>
        <w:overflowPunct/>
        <w:topLinePunct w:val="0"/>
        <w:autoSpaceDE/>
        <w:autoSpaceDN/>
        <w:bidi w:val="0"/>
        <w:spacing w:line="560" w:lineRule="exact"/>
        <w:ind w:firstLine="640" w:firstLineChars="200"/>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（四）满意度</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为深入了解客运使用企业的满意度，进一步提升城市客运服务质量，公交集团针对客运使用企业开展了公交服务满意度调查。城市客运企业满意度为98%，符合补贴要求，该项绩效评价指标得10分。</w:t>
      </w:r>
    </w:p>
    <w:p>
      <w:pPr>
        <w:keepNext w:val="0"/>
        <w:keepLines w:val="0"/>
        <w:pageBreakBefore w:val="0"/>
        <w:widowControl w:val="0"/>
        <w:kinsoku/>
        <w:overflowPunct/>
        <w:topLinePunct w:val="0"/>
        <w:autoSpaceDE/>
        <w:autoSpaceDN/>
        <w:bidi w:val="0"/>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四、项目综合评价结论和评价等级</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根据项目执行情况和项目绩效情况，给出总得分99分，登记为“优秀”。2023年城市交通发展奖励资金（国家公交都市建设示范城市专项奖励资金）项目预算全部执行，项目为支持本省国家公交都市建设起到重要作用。</w:t>
      </w:r>
    </w:p>
    <w:p>
      <w:pPr>
        <w:keepNext w:val="0"/>
        <w:keepLines w:val="0"/>
        <w:pageBreakBefore w:val="0"/>
        <w:widowControl w:val="0"/>
        <w:kinsoku/>
        <w:overflowPunct/>
        <w:topLinePunct w:val="0"/>
        <w:autoSpaceDE/>
        <w:autoSpaceDN/>
        <w:bidi w:val="0"/>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五、存在的问题及改进措施</w:t>
      </w:r>
    </w:p>
    <w:p>
      <w:pPr>
        <w:pStyle w:val="6"/>
        <w:keepNext w:val="0"/>
        <w:keepLines w:val="0"/>
        <w:pageBreakBefore w:val="0"/>
        <w:widowControl w:val="0"/>
        <w:kinsoku/>
        <w:overflowPunct/>
        <w:topLinePunct w:val="0"/>
        <w:autoSpaceDE/>
        <w:autoSpaceDN/>
        <w:bidi w:val="0"/>
        <w:spacing w:line="560" w:lineRule="exact"/>
        <w:rPr>
          <w:rFonts w:hint="default" w:ascii="Times New Roman" w:hAnsi="Times New Roman" w:eastAsia="楷体" w:cs="Times New Roman"/>
          <w:b w:val="0"/>
          <w:bCs/>
          <w:kern w:val="2"/>
          <w:sz w:val="32"/>
          <w:szCs w:val="32"/>
        </w:rPr>
      </w:pPr>
      <w:r>
        <w:rPr>
          <w:rFonts w:hint="default" w:ascii="Times New Roman" w:hAnsi="Times New Roman" w:eastAsia="楷体" w:cs="Times New Roman"/>
          <w:b w:val="0"/>
          <w:bCs/>
          <w:kern w:val="2"/>
          <w:sz w:val="32"/>
          <w:szCs w:val="32"/>
        </w:rPr>
        <w:t>（一）存在的问题</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近年来，随着城市化进程的快速推进和城市建设的迅猛发展，公交集团面临着两个主要问题。首先，随着城市道路施工项目的数量较往年显著增加，这导致了公交线路不得不频繁地进行临时改道。这种改变不仅给市民的日常出行带来了极大的不便，也对公交线路的运营效率产生了明显的负面影响。其次，由于城中村的改造和各种场地的占用，2022年以来石家庄市有轨道学院、台头等多个公交场站腾退。公交场站的腾退变得非常频繁。这种频繁的搬迁严重影响了公交线路的正常运营，给市民的出行带来了诸多不便，有时甚至导致了出行路线的混乱和时间的浪费。</w:t>
      </w:r>
    </w:p>
    <w:p>
      <w:pPr>
        <w:pStyle w:val="6"/>
        <w:keepNext w:val="0"/>
        <w:keepLines w:val="0"/>
        <w:pageBreakBefore w:val="0"/>
        <w:widowControl w:val="0"/>
        <w:numPr>
          <w:ilvl w:val="0"/>
          <w:numId w:val="2"/>
        </w:numPr>
        <w:kinsoku/>
        <w:overflowPunct/>
        <w:topLinePunct w:val="0"/>
        <w:autoSpaceDE/>
        <w:autoSpaceDN/>
        <w:bidi w:val="0"/>
        <w:spacing w:line="560" w:lineRule="exact"/>
        <w:rPr>
          <w:rFonts w:hint="default" w:ascii="Times New Roman" w:hAnsi="Times New Roman" w:eastAsia="楷体" w:cs="Times New Roman"/>
          <w:b w:val="0"/>
          <w:bCs/>
          <w:kern w:val="2"/>
          <w:sz w:val="32"/>
          <w:szCs w:val="32"/>
        </w:rPr>
      </w:pPr>
      <w:r>
        <w:rPr>
          <w:rFonts w:hint="default" w:ascii="Times New Roman" w:hAnsi="Times New Roman" w:eastAsia="楷体" w:cs="Times New Roman"/>
          <w:b w:val="0"/>
          <w:bCs/>
          <w:kern w:val="2"/>
          <w:sz w:val="32"/>
          <w:szCs w:val="32"/>
        </w:rPr>
        <w:t>改进措施</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1.加快公交场站和配套服务开发建设。</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 xml:space="preserve">优化现有公交场站经营管理模式，组建专业团队，负责公交场站的融资、建设、管理、经营，通过新建公交场站配套商服、充电站、换电站、场站停车服务、场站冠名广告、站内广告、沿街广告等多种经营形式，千方百计平衡场站建设投资，创收盈利。加快推进公交场站建设，开展融资、供地、建设以及经营策划等工作。分批采购，逐步更新，避免集中更新增加集团财务压力，降低对公交运营的影响。 </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2.加快公交专用道建设。</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在中心城区城市发展轴、公交主通道以及关键走廊上的道路，优先安排设置公交专用道。科学合理设置城区公交专用道建设，推进在新建和改造道路上公交专用道的同步设计、同步建设、同步完成、同步验收。通过统一规划、分期建设、逐步成网，中心城区力争形成“成环成网”的公交专用道网络布局。</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3.推动绿色交通体系建设。</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我集团将继续根据市政府优先发展公共交通战略，积极应对外部环境变化，加大绿色出行宣传力度，完善公共交通路网优化建设，进一步提高服务质量，推广新能源车辆和智慧公交技术，提高公共交通的竞争力和吸引力，为市民提供更加便捷、舒适、环保的出行选择，全力推进节约能源发展规划的落实，为我市“碳达峰、碳中和”工作和绿色交通体系建设作出更大贡献。</w:t>
      </w: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p>
    <w:p>
      <w:pPr>
        <w:pStyle w:val="6"/>
        <w:keepNext w:val="0"/>
        <w:keepLines w:val="0"/>
        <w:pageBreakBefore w:val="0"/>
        <w:widowControl w:val="0"/>
        <w:kinsoku/>
        <w:overflowPunct/>
        <w:topLinePunct w:val="0"/>
        <w:autoSpaceDE/>
        <w:autoSpaceDN/>
        <w:bidi w:val="0"/>
        <w:spacing w:line="560" w:lineRule="exact"/>
        <w:ind w:left="0" w:leftChars="0" w:firstLine="640" w:firstLineChars="200"/>
        <w:rPr>
          <w:rFonts w:hint="default" w:ascii="Times New Roman" w:hAnsi="Times New Roman" w:eastAsia="仿宋_GB2312" w:cs="Times New Roman"/>
          <w:kern w:val="2"/>
          <w:sz w:val="32"/>
          <w:szCs w:val="32"/>
          <w:lang w:val="en-US" w:eastAsia="zh-CN" w:bidi="ar-SA"/>
        </w:rPr>
      </w:pPr>
    </w:p>
    <w:sectPr>
      <w:footerReference r:id="rId3" w:type="default"/>
      <w:footerReference r:id="rId4" w:type="even"/>
      <w:pgSz w:w="11906" w:h="16838"/>
      <w:pgMar w:top="1984" w:right="1474" w:bottom="2098" w:left="1587"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小标宋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right" w:pos="8845"/>
        <w:tab w:val="clear" w:pos="4153"/>
      </w:tabs>
    </w:pPr>
    <w:r>
      <w:rPr>
        <w:sz w:val="18"/>
      </w:rPr>
      <w:pict>
        <v:shape id="_x0000_s4105" o:spid="_x0000_s4105"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v:textbox>
        </v:shape>
      </w:pict>
    </w:r>
    <w:r>
      <w:rPr>
        <w:rFonts w:hint="eastAsia"/>
        <w:lang w:eastAsia="zh-CN"/>
      </w:rPr>
      <w:tab/>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106" o:spid="_x0000_s4106"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2"/>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68489B"/>
    <w:multiLevelType w:val="singleLevel"/>
    <w:tmpl w:val="5E68489B"/>
    <w:lvl w:ilvl="0" w:tentative="0">
      <w:start w:val="1"/>
      <w:numFmt w:val="chineseCounting"/>
      <w:suff w:val="nothing"/>
      <w:lvlText w:val="（%1）"/>
      <w:lvlJc w:val="left"/>
      <w:rPr>
        <w:rFonts w:ascii="楷体" w:hAnsi="楷体" w:eastAsia="楷体"/>
        <w:b w:val="0"/>
      </w:rPr>
    </w:lvl>
  </w:abstractNum>
  <w:abstractNum w:abstractNumId="1">
    <w:nsid w:val="7ADBCCA1"/>
    <w:multiLevelType w:val="singleLevel"/>
    <w:tmpl w:val="7ADBCCA1"/>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0"/>
  <w:bordersDoNotSurroundFooter w:val="0"/>
  <w:doNotTrackMoves/>
  <w:documentProtection w:enforcement="0"/>
  <w:defaultTabStop w:val="42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gxMzVhZTBlNDUyZWUxNDVhMjNkN2E1NjFlOTE5NDcifQ=="/>
  </w:docVars>
  <w:rsids>
    <w:rsidRoot w:val="0EBD2122"/>
    <w:rsid w:val="00060C4C"/>
    <w:rsid w:val="00117DDC"/>
    <w:rsid w:val="00131FC6"/>
    <w:rsid w:val="001349D3"/>
    <w:rsid w:val="00153239"/>
    <w:rsid w:val="00162D31"/>
    <w:rsid w:val="00165DE5"/>
    <w:rsid w:val="00222498"/>
    <w:rsid w:val="002729A0"/>
    <w:rsid w:val="002E547F"/>
    <w:rsid w:val="005C7E1D"/>
    <w:rsid w:val="00615B54"/>
    <w:rsid w:val="006E5772"/>
    <w:rsid w:val="00721C4E"/>
    <w:rsid w:val="00722B08"/>
    <w:rsid w:val="007B0AB6"/>
    <w:rsid w:val="007E6C1F"/>
    <w:rsid w:val="008246DE"/>
    <w:rsid w:val="00843185"/>
    <w:rsid w:val="008B5355"/>
    <w:rsid w:val="009A2359"/>
    <w:rsid w:val="009D34BA"/>
    <w:rsid w:val="00A852E2"/>
    <w:rsid w:val="00AF566A"/>
    <w:rsid w:val="00B6553A"/>
    <w:rsid w:val="00C307B2"/>
    <w:rsid w:val="00DA62BA"/>
    <w:rsid w:val="00DE7128"/>
    <w:rsid w:val="00EA4CBF"/>
    <w:rsid w:val="02647B68"/>
    <w:rsid w:val="028D5673"/>
    <w:rsid w:val="02B43A28"/>
    <w:rsid w:val="03416C3A"/>
    <w:rsid w:val="03761410"/>
    <w:rsid w:val="08A23AA5"/>
    <w:rsid w:val="08EF6AC2"/>
    <w:rsid w:val="099079F2"/>
    <w:rsid w:val="0AE05CC8"/>
    <w:rsid w:val="0BCF75E0"/>
    <w:rsid w:val="0EB97A43"/>
    <w:rsid w:val="0EBD2122"/>
    <w:rsid w:val="108A31F2"/>
    <w:rsid w:val="10FF6E3B"/>
    <w:rsid w:val="111A6510"/>
    <w:rsid w:val="118F39F0"/>
    <w:rsid w:val="11B71E6A"/>
    <w:rsid w:val="11D60666"/>
    <w:rsid w:val="12DC585B"/>
    <w:rsid w:val="140B19FD"/>
    <w:rsid w:val="18FA4C8D"/>
    <w:rsid w:val="1AAF0063"/>
    <w:rsid w:val="1B3A34BE"/>
    <w:rsid w:val="1BC72327"/>
    <w:rsid w:val="1BE140DE"/>
    <w:rsid w:val="1C4B7A3D"/>
    <w:rsid w:val="1E7C19D8"/>
    <w:rsid w:val="1FC976A5"/>
    <w:rsid w:val="20D858B3"/>
    <w:rsid w:val="2112471F"/>
    <w:rsid w:val="23856009"/>
    <w:rsid w:val="248C197D"/>
    <w:rsid w:val="252959AF"/>
    <w:rsid w:val="25AB51AE"/>
    <w:rsid w:val="26E054C2"/>
    <w:rsid w:val="2736180A"/>
    <w:rsid w:val="277A6671"/>
    <w:rsid w:val="280E42B1"/>
    <w:rsid w:val="292D35B7"/>
    <w:rsid w:val="29850532"/>
    <w:rsid w:val="29DF048F"/>
    <w:rsid w:val="2BAC07FC"/>
    <w:rsid w:val="2C5950CE"/>
    <w:rsid w:val="2D5C5ABE"/>
    <w:rsid w:val="2FAC026E"/>
    <w:rsid w:val="300E12F2"/>
    <w:rsid w:val="314A0FD9"/>
    <w:rsid w:val="31876F76"/>
    <w:rsid w:val="31DF64D8"/>
    <w:rsid w:val="33EB6CFF"/>
    <w:rsid w:val="34727C2F"/>
    <w:rsid w:val="351A6043"/>
    <w:rsid w:val="35F47882"/>
    <w:rsid w:val="37FC2378"/>
    <w:rsid w:val="39202096"/>
    <w:rsid w:val="3A162E3B"/>
    <w:rsid w:val="3B5707E4"/>
    <w:rsid w:val="3B625C0A"/>
    <w:rsid w:val="3CE5691C"/>
    <w:rsid w:val="3CEE1963"/>
    <w:rsid w:val="3E1C6D84"/>
    <w:rsid w:val="401C3F02"/>
    <w:rsid w:val="405530BA"/>
    <w:rsid w:val="4159263F"/>
    <w:rsid w:val="42291A89"/>
    <w:rsid w:val="42F148EC"/>
    <w:rsid w:val="43800E27"/>
    <w:rsid w:val="453B3D19"/>
    <w:rsid w:val="465E2247"/>
    <w:rsid w:val="476066EB"/>
    <w:rsid w:val="48946B1C"/>
    <w:rsid w:val="49E6506A"/>
    <w:rsid w:val="4AAF2224"/>
    <w:rsid w:val="4B797B0F"/>
    <w:rsid w:val="4BB0404C"/>
    <w:rsid w:val="4D0F41F2"/>
    <w:rsid w:val="4D780A18"/>
    <w:rsid w:val="4E743AF9"/>
    <w:rsid w:val="4EE10A3A"/>
    <w:rsid w:val="512260B4"/>
    <w:rsid w:val="51E01BC0"/>
    <w:rsid w:val="521A1274"/>
    <w:rsid w:val="52735371"/>
    <w:rsid w:val="54272508"/>
    <w:rsid w:val="547552EE"/>
    <w:rsid w:val="547E46B6"/>
    <w:rsid w:val="54817A35"/>
    <w:rsid w:val="54CE2ADD"/>
    <w:rsid w:val="54F50220"/>
    <w:rsid w:val="577D35AB"/>
    <w:rsid w:val="58407CFE"/>
    <w:rsid w:val="5875340D"/>
    <w:rsid w:val="59257A04"/>
    <w:rsid w:val="597244E8"/>
    <w:rsid w:val="5D1A4582"/>
    <w:rsid w:val="5DA62BB3"/>
    <w:rsid w:val="61D51FCF"/>
    <w:rsid w:val="63924C44"/>
    <w:rsid w:val="63E1743C"/>
    <w:rsid w:val="64396F06"/>
    <w:rsid w:val="644F1AAB"/>
    <w:rsid w:val="64A747CA"/>
    <w:rsid w:val="64AC14CD"/>
    <w:rsid w:val="64EA757D"/>
    <w:rsid w:val="652A31DB"/>
    <w:rsid w:val="66813C13"/>
    <w:rsid w:val="66AF0CE5"/>
    <w:rsid w:val="67A37521"/>
    <w:rsid w:val="67AC2BC3"/>
    <w:rsid w:val="67DE4689"/>
    <w:rsid w:val="68025E5D"/>
    <w:rsid w:val="6A2B4273"/>
    <w:rsid w:val="6B844BF0"/>
    <w:rsid w:val="6E5B14A6"/>
    <w:rsid w:val="72181CC2"/>
    <w:rsid w:val="724E4C00"/>
    <w:rsid w:val="72DB435C"/>
    <w:rsid w:val="74904FBD"/>
    <w:rsid w:val="74C078E8"/>
    <w:rsid w:val="74D9413E"/>
    <w:rsid w:val="763C481E"/>
    <w:rsid w:val="7882092D"/>
    <w:rsid w:val="7A025901"/>
    <w:rsid w:val="7B6B446F"/>
    <w:rsid w:val="7BB51E06"/>
    <w:rsid w:val="7C0138D9"/>
    <w:rsid w:val="7C387F7C"/>
    <w:rsid w:val="7D4A6037"/>
    <w:rsid w:val="7DB9025B"/>
    <w:rsid w:val="7DCD0CFC"/>
    <w:rsid w:val="7EB4498F"/>
    <w:rsid w:val="7F836A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customStyle="1" w:styleId="6">
    <w:name w:val="Normal Indent1"/>
    <w:basedOn w:val="1"/>
    <w:qFormat/>
    <w:uiPriority w:val="0"/>
    <w:pPr>
      <w:adjustRightInd w:val="0"/>
      <w:spacing w:line="360" w:lineRule="atLeast"/>
      <w:ind w:firstLine="420"/>
      <w:jc w:val="left"/>
      <w:textAlignment w:val="baseline"/>
    </w:pPr>
    <w:rPr>
      <w:kern w:val="0"/>
      <w:sz w:val="25"/>
      <w:szCs w:val="20"/>
    </w:rPr>
  </w:style>
  <w:style w:type="character" w:customStyle="1" w:styleId="7">
    <w:name w:val="font2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5" textRotate="1"/>
    <customShpInfo spid="_x0000_s410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3019</Words>
  <Characters>3215</Characters>
  <Lines>19</Lines>
  <Paragraphs>5</Paragraphs>
  <TotalTime>18</TotalTime>
  <ScaleCrop>false</ScaleCrop>
  <LinksUpToDate>false</LinksUpToDate>
  <CharactersWithSpaces>3226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2025-03-17T07:08:00Z</cp:lastPrinted>
  <dcterms:modified xsi:type="dcterms:W3CDTF">2025-03-31T07:28:52Z</dcterms:modified>
  <dc:title>附件3：</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eyJoZGlkIjoiMmJjYWRiMGZjOTQyODQzNjkwMDY3NjA3NzQ4YWI4ODEiLCJ1c2VySWQiOiI2NDgwMTIzNzEifQ==</vt:lpwstr>
  </property>
</Properties>
</file>