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hint="eastAsia" w:ascii="宋体" w:hAnsi="宋体" w:eastAsia="宋体" w:cs="宋体"/>
          <w:b/>
          <w:bCs/>
          <w:sz w:val="44"/>
          <w:szCs w:val="44"/>
          <w:lang w:val="en-US" w:eastAsia="zh-CN"/>
        </w:rPr>
      </w:pPr>
      <w:r>
        <w:rPr>
          <w:rFonts w:hint="eastAsia" w:ascii="宋体" w:hAnsi="宋体" w:cs="宋体"/>
          <w:b/>
          <w:bCs/>
          <w:sz w:val="44"/>
          <w:szCs w:val="44"/>
          <w:lang w:val="en-US" w:eastAsia="zh-CN"/>
        </w:rPr>
        <w:t>冷链物流城市集配中心</w:t>
      </w:r>
      <w:r>
        <w:rPr>
          <w:rFonts w:hint="eastAsia" w:ascii="宋体" w:hAnsi="宋体" w:cs="宋体"/>
          <w:b/>
          <w:bCs/>
          <w:sz w:val="44"/>
          <w:szCs w:val="44"/>
        </w:rPr>
        <w:t>项目</w:t>
      </w:r>
      <w:r>
        <w:rPr>
          <w:rFonts w:hint="eastAsia" w:ascii="宋体" w:hAnsi="宋体" w:cs="宋体"/>
          <w:b/>
          <w:bCs/>
          <w:sz w:val="44"/>
          <w:szCs w:val="44"/>
          <w:lang w:eastAsia="zh-CN"/>
        </w:rPr>
        <w:t>（</w:t>
      </w:r>
      <w:r>
        <w:rPr>
          <w:rFonts w:hint="eastAsia" w:ascii="宋体" w:hAnsi="宋体" w:cs="宋体"/>
          <w:b/>
          <w:bCs/>
          <w:sz w:val="44"/>
          <w:szCs w:val="44"/>
          <w:lang w:val="en-US" w:eastAsia="zh-CN"/>
        </w:rPr>
        <w:t>一期</w:t>
      </w:r>
      <w:r>
        <w:rPr>
          <w:rFonts w:hint="eastAsia" w:ascii="宋体" w:hAnsi="宋体" w:cs="宋体"/>
          <w:b/>
          <w:bCs/>
          <w:sz w:val="44"/>
          <w:szCs w:val="44"/>
          <w:lang w:eastAsia="zh-CN"/>
        </w:rPr>
        <w:t>）项目</w:t>
      </w:r>
    </w:p>
    <w:p>
      <w:pPr>
        <w:adjustRightInd w:val="0"/>
        <w:snapToGrid w:val="0"/>
        <w:spacing w:line="560" w:lineRule="exact"/>
        <w:jc w:val="center"/>
        <w:rPr>
          <w:rFonts w:hint="eastAsia" w:ascii="宋体" w:hAnsi="宋体" w:cs="宋体"/>
          <w:b/>
          <w:bCs/>
          <w:sz w:val="44"/>
          <w:szCs w:val="44"/>
        </w:rPr>
      </w:pPr>
      <w:r>
        <w:rPr>
          <w:rFonts w:hint="eastAsia" w:ascii="宋体" w:hAnsi="宋体" w:cs="宋体"/>
          <w:b/>
          <w:bCs/>
          <w:sz w:val="44"/>
          <w:szCs w:val="44"/>
        </w:rPr>
        <w:t>自评报告</w:t>
      </w:r>
    </w:p>
    <w:p>
      <w:pPr>
        <w:pStyle w:val="2"/>
        <w:rPr>
          <w:rFonts w:hint="eastAsia"/>
        </w:rPr>
      </w:pPr>
    </w:p>
    <w:p>
      <w:pPr>
        <w:adjustRightInd w:val="0"/>
        <w:snapToGrid w:val="0"/>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根据《石家庄市市级部门项目绩效自评管理办法》（石财绩〔2020〕5号），遵循全面覆盖、程序简便、客观公正、公开透明的原则，对</w:t>
      </w:r>
      <w:r>
        <w:rPr>
          <w:rFonts w:hint="default" w:ascii="Times New Roman" w:hAnsi="Times New Roman" w:eastAsia="仿宋_GB2312" w:cs="Times New Roman"/>
          <w:sz w:val="32"/>
          <w:szCs w:val="32"/>
          <w:lang w:val="en-US" w:eastAsia="zh-CN"/>
        </w:rPr>
        <w:t>冷链物流城市集配中心</w:t>
      </w:r>
      <w:r>
        <w:rPr>
          <w:rFonts w:hint="default" w:ascii="Times New Roman" w:hAnsi="Times New Roman" w:eastAsia="仿宋_GB2312" w:cs="Times New Roman"/>
          <w:sz w:val="32"/>
          <w:szCs w:val="32"/>
        </w:rPr>
        <w:t>项目</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一期</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实施了财政绩效自评价，形成本评价报告。</w:t>
      </w:r>
    </w:p>
    <w:p>
      <w:pPr>
        <w:adjustRightInd w:val="0"/>
        <w:snapToGrid w:val="0"/>
        <w:spacing w:line="560" w:lineRule="exact"/>
        <w:ind w:firstLine="640" w:firstLineChars="200"/>
        <w:rPr>
          <w:rFonts w:hint="eastAsia" w:ascii="黑体" w:hAnsi="黑体" w:eastAsia="黑体" w:cs="黑体"/>
          <w:b/>
          <w:bCs/>
          <w:sz w:val="32"/>
          <w:szCs w:val="36"/>
        </w:rPr>
      </w:pPr>
      <w:r>
        <w:rPr>
          <w:rFonts w:hint="eastAsia" w:ascii="黑体" w:hAnsi="黑体" w:eastAsia="黑体" w:cs="黑体"/>
          <w:sz w:val="32"/>
          <w:szCs w:val="32"/>
        </w:rPr>
        <w:t>一、项目</w:t>
      </w:r>
      <w:r>
        <w:rPr>
          <w:rFonts w:hint="eastAsia" w:ascii="黑体" w:hAnsi="黑体" w:eastAsia="黑体" w:cs="黑体"/>
          <w:sz w:val="32"/>
          <w:szCs w:val="36"/>
        </w:rPr>
        <w:t>基本情况</w:t>
      </w:r>
    </w:p>
    <w:p>
      <w:pPr>
        <w:adjustRightInd w:val="0"/>
        <w:snapToGrid w:val="0"/>
        <w:spacing w:line="560"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（一）项目概况</w:t>
      </w:r>
    </w:p>
    <w:p>
      <w:pPr>
        <w:adjustRightInd w:val="0"/>
        <w:snapToGrid w:val="0"/>
        <w:spacing w:line="560" w:lineRule="exact"/>
        <w:ind w:firstLine="800" w:firstLineChars="25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项目实施单位及项目立项等基本情况</w:t>
      </w:r>
    </w:p>
    <w:p>
      <w:pPr>
        <w:pStyle w:val="7"/>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单位名称：石家庄市交投冷链物流有限公司</w:t>
      </w:r>
    </w:p>
    <w:p>
      <w:pPr>
        <w:pStyle w:val="7"/>
        <w:keepNext w:val="0"/>
        <w:keepLines w:val="0"/>
        <w:pageBreakBefore w:val="0"/>
        <w:widowControl w:val="0"/>
        <w:numPr>
          <w:ilvl w:val="0"/>
          <w:numId w:val="0"/>
        </w:numPr>
        <w:kinsoku/>
        <w:wordWrap/>
        <w:overflowPunct/>
        <w:topLinePunct w:val="0"/>
        <w:autoSpaceDE/>
        <w:autoSpaceDN/>
        <w:bidi w:val="0"/>
        <w:adjustRightInd/>
        <w:spacing w:line="560" w:lineRule="exact"/>
        <w:ind w:firstLine="640"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主管部门：高新区经济发展局</w:t>
      </w:r>
    </w:p>
    <w:p>
      <w:pPr>
        <w:pStyle w:val="7"/>
        <w:keepNext w:val="0"/>
        <w:keepLines w:val="0"/>
        <w:pageBreakBefore w:val="0"/>
        <w:widowControl w:val="0"/>
        <w:kinsoku/>
        <w:wordWrap/>
        <w:overflowPunct/>
        <w:topLinePunct w:val="0"/>
        <w:autoSpaceDE/>
        <w:autoSpaceDN/>
        <w:bidi w:val="0"/>
        <w:adjustRightInd/>
        <w:spacing w:line="560" w:lineRule="exact"/>
        <w:ind w:left="0" w:leftChars="0" w:firstLine="640"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企业性质：国有控股企业</w:t>
      </w:r>
    </w:p>
    <w:p>
      <w:pPr>
        <w:pStyle w:val="7"/>
        <w:keepNext w:val="0"/>
        <w:keepLines w:val="0"/>
        <w:pageBreakBefore w:val="0"/>
        <w:widowControl w:val="0"/>
        <w:kinsoku/>
        <w:wordWrap/>
        <w:overflowPunct/>
        <w:topLinePunct w:val="0"/>
        <w:autoSpaceDE/>
        <w:autoSpaceDN/>
        <w:bidi w:val="0"/>
        <w:adjustRightInd/>
        <w:spacing w:line="560" w:lineRule="exact"/>
        <w:ind w:left="0" w:leftChars="0" w:firstLine="640"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企业类型：其他有限责任公司</w:t>
      </w:r>
    </w:p>
    <w:p>
      <w:pPr>
        <w:pStyle w:val="7"/>
        <w:keepNext w:val="0"/>
        <w:keepLines w:val="0"/>
        <w:pageBreakBefore w:val="0"/>
        <w:widowControl w:val="0"/>
        <w:kinsoku/>
        <w:wordWrap/>
        <w:overflowPunct/>
        <w:topLinePunct w:val="0"/>
        <w:autoSpaceDE/>
        <w:autoSpaceDN/>
        <w:bidi w:val="0"/>
        <w:adjustRightInd/>
        <w:spacing w:line="560" w:lineRule="exact"/>
        <w:ind w:left="0" w:leftChars="0" w:firstLine="640"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法定代表人：肖东</w:t>
      </w:r>
    </w:p>
    <w:p>
      <w:pPr>
        <w:pStyle w:val="7"/>
        <w:keepNext w:val="0"/>
        <w:keepLines w:val="0"/>
        <w:pageBreakBefore w:val="0"/>
        <w:kinsoku/>
        <w:wordWrap/>
        <w:overflowPunct/>
        <w:topLinePunct w:val="0"/>
        <w:autoSpaceDE/>
        <w:autoSpaceDN/>
        <w:bidi w:val="0"/>
        <w:adjustRightInd/>
        <w:spacing w:line="560" w:lineRule="exact"/>
        <w:ind w:left="0" w:leftChars="0" w:firstLine="640"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统一社会信用代码：91130100MABQ90GJ7R</w:t>
      </w:r>
    </w:p>
    <w:p>
      <w:pPr>
        <w:pStyle w:val="7"/>
        <w:keepNext w:val="0"/>
        <w:keepLines w:val="0"/>
        <w:pageBreakBefore w:val="0"/>
        <w:kinsoku/>
        <w:wordWrap/>
        <w:overflowPunct/>
        <w:topLinePunct w:val="0"/>
        <w:autoSpaceDE/>
        <w:autoSpaceDN/>
        <w:bidi w:val="0"/>
        <w:adjustRightInd/>
        <w:spacing w:line="560" w:lineRule="exact"/>
        <w:ind w:left="0" w:leftChars="0" w:firstLine="640"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成立日期：2022年06月10日</w:t>
      </w:r>
    </w:p>
    <w:p>
      <w:pPr>
        <w:pStyle w:val="7"/>
        <w:keepNext w:val="0"/>
        <w:keepLines w:val="0"/>
        <w:pageBreakBefore w:val="0"/>
        <w:kinsoku/>
        <w:wordWrap/>
        <w:overflowPunct/>
        <w:topLinePunct w:val="0"/>
        <w:autoSpaceDE/>
        <w:autoSpaceDN/>
        <w:bidi w:val="0"/>
        <w:adjustRightInd/>
        <w:spacing w:line="560" w:lineRule="exact"/>
        <w:ind w:left="0" w:leftChars="0" w:firstLine="640"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注册地址：石家庄高新区郄马镇南三环788、789号</w:t>
      </w:r>
    </w:p>
    <w:p>
      <w:pPr>
        <w:pStyle w:val="7"/>
        <w:keepNext w:val="0"/>
        <w:keepLines w:val="0"/>
        <w:pageBreakBefore w:val="0"/>
        <w:kinsoku/>
        <w:wordWrap/>
        <w:overflowPunct/>
        <w:topLinePunct w:val="0"/>
        <w:autoSpaceDE/>
        <w:autoSpaceDN/>
        <w:bidi w:val="0"/>
        <w:adjustRightInd/>
        <w:spacing w:line="560" w:lineRule="exact"/>
        <w:ind w:left="0" w:leftChars="0" w:firstLine="640" w:firstLineChars="200"/>
        <w:jc w:val="both"/>
        <w:textAlignment w:val="auto"/>
        <w:rPr>
          <w:rFonts w:hint="default" w:ascii="Times New Roman" w:hAnsi="Times New Roman" w:eastAsia="仿宋_GB2312"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lang w:val="en-US" w:eastAsia="zh-CN"/>
        </w:rPr>
        <w:t>经营范围：经营范围包括一般项目：普通货物仓储服务（不含危险化学品等需许可审批的项目）；低温仓储（不含危险化学品等需许可审批的项目）；国内货物运输代理；道路货物运输站经营；集贸市场管理服务；供应链管理服务；居民日常生活服务；租赁服务（不含许可类租赁服务）；停车场服务；信息系统集成服务；专业保洁、清洗、消毒服务；装卸搬运；柜台、摊位出租；非居住房地产租赁；企业管理咨询；酒店管理；物业管理；市场营销策划；市场调查（不含涉外调查）；广告设计、代理；广告制作；农副产品销售；办公用品销售；日用百货销售；礼品花卉销售。（除依法须经批准的项目外，凭营业执照依法自主开展经营活动）许可项目：食品销售；道路货物运输（不含危险货物）；城市配送运输服务（不含危险货物）；烟草制品零售；住宅室内装饰装修；餐饮服务。（依法须经批准的项目，经相关部门批准后方可开展经营活动，具体经营项目以相关部门批准文件或许可证件为准）</w:t>
      </w:r>
    </w:p>
    <w:p>
      <w:pPr>
        <w:adjustRightInd w:val="0"/>
        <w:snapToGrid w:val="0"/>
        <w:spacing w:line="560" w:lineRule="exact"/>
        <w:ind w:firstLine="800" w:firstLineChars="25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项目立项情况：项目经石家庄高新区行政服务局批准建设，备案编号:石高行审投资备字(2022)134号。项目建设地点:石家庄高新区南三环以南、太行南大街以西、昆仑大街以东、规划路以北。</w:t>
      </w:r>
    </w:p>
    <w:p>
      <w:pPr>
        <w:keepNext w:val="0"/>
        <w:keepLines w:val="0"/>
        <w:pageBreakBefore w:val="0"/>
        <w:widowControl w:val="0"/>
        <w:numPr>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项目主要实施内容和范围</w:t>
      </w:r>
    </w:p>
    <w:p>
      <w:pPr>
        <w:adjustRightInd w:val="0"/>
        <w:snapToGrid w:val="0"/>
        <w:spacing w:line="560" w:lineRule="exact"/>
        <w:ind w:firstLine="800" w:firstLineChars="25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冷链物流城市集配中心项目分二期建设，本次申报和评价范围为项目一期。项目一期主要建设内容为：北区1#冷库、2#冷库、3#加工车间及综合楼；南区1#综合物流中心、2#冷库、3#冷库、4#冷库、5#冷库。</w:t>
      </w:r>
    </w:p>
    <w:p>
      <w:pPr>
        <w:keepNext w:val="0"/>
        <w:keepLines w:val="0"/>
        <w:pageBreakBefore w:val="0"/>
        <w:widowControl w:val="0"/>
        <w:numPr>
          <w:numId w:val="0"/>
        </w:numPr>
        <w:kinsoku/>
        <w:wordWrap/>
        <w:overflowPunct/>
        <w:topLinePunct w:val="0"/>
        <w:autoSpaceDE/>
        <w:autoSpaceDN/>
        <w:bidi w:val="0"/>
        <w:adjustRightInd w:val="0"/>
        <w:snapToGrid w:val="0"/>
        <w:spacing w:line="56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项目资金投入情况（资金数量、资金结构、资金来源渠道等）</w:t>
      </w:r>
    </w:p>
    <w:p>
      <w:pPr>
        <w:numPr>
          <w:ilvl w:val="0"/>
          <w:numId w:val="0"/>
        </w:numPr>
        <w:adjustRightInd w:val="0"/>
        <w:snapToGrid w:val="0"/>
        <w:spacing w:line="560" w:lineRule="exact"/>
        <w:ind w:leftChars="250"/>
        <w:rPr>
          <w:rFonts w:hint="default" w:ascii="Times New Roman" w:hAnsi="Times New Roman" w:eastAsia="仿宋_GB2312" w:cs="Times New Roman"/>
          <w:sz w:val="32"/>
          <w:szCs w:val="32"/>
          <w:lang w:val="en-US"/>
        </w:rPr>
      </w:pPr>
      <w:r>
        <w:rPr>
          <w:rFonts w:hint="default" w:ascii="Times New Roman" w:hAnsi="Times New Roman" w:eastAsia="仿宋_GB2312" w:cs="Times New Roman"/>
          <w:sz w:val="32"/>
          <w:szCs w:val="32"/>
          <w:lang w:val="en-US" w:eastAsia="zh-CN"/>
        </w:rPr>
        <w:t>冷链物流城市集配中心项目（一期）总投资12.3亿元，主要为银行贷款和自有资金，其中银行贷款占80%，约9.84亿元；资本金占20%，主要为股东注资，约为2.46亿元。</w:t>
      </w:r>
    </w:p>
    <w:p>
      <w:pPr>
        <w:adjustRightInd w:val="0"/>
        <w:snapToGrid w:val="0"/>
        <w:spacing w:line="560"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（二）项目预期绩效目标</w:t>
      </w:r>
    </w:p>
    <w:p>
      <w:pPr>
        <w:adjustRightInd w:val="0"/>
        <w:snapToGrid w:val="0"/>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项目预期绩效总目标</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1.完成冷链物流城市集配中心项目（一期）建设；2.承接石家庄市三环内冷库市场，推动石家庄市冷链物流产业发展。</w:t>
      </w:r>
    </w:p>
    <w:p>
      <w:pPr>
        <w:adjustRightInd w:val="0"/>
        <w:snapToGrid w:val="0"/>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二、自评工作情况</w:t>
      </w:r>
    </w:p>
    <w:p>
      <w:pPr>
        <w:adjustRightInd w:val="0"/>
        <w:snapToGrid w:val="0"/>
        <w:spacing w:line="560" w:lineRule="exact"/>
        <w:ind w:firstLine="627" w:firstLineChars="196"/>
        <w:rPr>
          <w:rFonts w:hint="eastAsia" w:ascii="楷体" w:hAnsi="楷体" w:eastAsia="楷体" w:cs="楷体"/>
          <w:sz w:val="32"/>
          <w:szCs w:val="32"/>
        </w:rPr>
      </w:pPr>
      <w:r>
        <w:rPr>
          <w:rFonts w:hint="eastAsia" w:ascii="楷体" w:hAnsi="楷体" w:eastAsia="楷体" w:cs="楷体"/>
          <w:bCs/>
          <w:sz w:val="32"/>
          <w:szCs w:val="32"/>
        </w:rPr>
        <w:t>（一）自评的组织工作</w:t>
      </w:r>
    </w:p>
    <w:p>
      <w:pPr>
        <w:spacing w:line="56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对项目建设现场进行实际调研，查阅项目建设相关资料和资金申请材料，核实项目实际建设满足申请材料要求。</w:t>
      </w:r>
    </w:p>
    <w:p>
      <w:pPr>
        <w:numPr>
          <w:ilvl w:val="0"/>
          <w:numId w:val="1"/>
        </w:numPr>
        <w:adjustRightInd w:val="0"/>
        <w:snapToGrid w:val="0"/>
        <w:spacing w:line="560"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自评的方法和过程</w:t>
      </w:r>
    </w:p>
    <w:p>
      <w:pPr>
        <w:spacing w:line="560" w:lineRule="exact"/>
        <w:ind w:firstLine="64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采用项目现场实际查勘和室内资料审查结合的方式，对冷链物流城市集配中心项目（一期）开展自评工作。</w:t>
      </w:r>
    </w:p>
    <w:p>
      <w:pPr>
        <w:pStyle w:val="2"/>
        <w:rPr>
          <w:rFonts w:hint="default" w:ascii="Times New Roman" w:hAnsi="Times New Roman" w:eastAsia="仿宋_GB2312" w:cs="Times New Roman"/>
          <w:lang w:val="en-US" w:eastAsia="zh-CN"/>
        </w:rPr>
      </w:pPr>
      <w:r>
        <w:rPr>
          <w:rFonts w:hint="default" w:ascii="Times New Roman" w:hAnsi="Times New Roman" w:eastAsia="仿宋_GB2312" w:cs="Times New Roman"/>
          <w:sz w:val="32"/>
          <w:szCs w:val="32"/>
          <w:lang w:val="en-US" w:eastAsia="zh-CN"/>
        </w:rPr>
        <w:t>深入项目现场，对项目建设内容、建设质量等进行实际查勘，询问园区内商户对项目满意度，初步核实项目园区从业人数等。在室内对项目财务资料、合同资料、项目建设手续资料等材料进行核实。</w:t>
      </w:r>
    </w:p>
    <w:p>
      <w:pPr>
        <w:adjustRightInd w:val="0"/>
        <w:snapToGrid w:val="0"/>
        <w:spacing w:line="560" w:lineRule="exact"/>
        <w:ind w:firstLine="640" w:firstLineChars="200"/>
        <w:rPr>
          <w:rFonts w:hint="eastAsia" w:ascii="楷体" w:hAnsi="楷体" w:eastAsia="楷体" w:cs="楷体"/>
          <w:b/>
          <w:bCs/>
          <w:sz w:val="32"/>
          <w:szCs w:val="32"/>
        </w:rPr>
      </w:pPr>
      <w:r>
        <w:rPr>
          <w:rFonts w:hint="eastAsia" w:ascii="楷体" w:hAnsi="楷体" w:eastAsia="楷体" w:cs="楷体"/>
          <w:bCs/>
          <w:sz w:val="32"/>
          <w:szCs w:val="32"/>
        </w:rPr>
        <w:t>（三）建立绩效评价指标体系</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在开展预算自评工作时，针对具体绩效评价对象的特点，设计能够体现项目特点绩效评价指标体系。绩效指标权重由各部门根据评价对象实际情况确定，总分设定为100分。原则上一级指标权重统一设置为：产出指标40分（包含数量、质量、时效、成本）、预算执行率指标10分、效益指标40分（包含经济效益、社会效益、生态效益、可持续影响）、满意度指标10分。如某一类指标未设定，其分值可合理调整至其他指标。若被评价项目不涉及服务对象满意度内容或因服务对象满意度获取难度较大、成本较高而未能获取，则服务对象满意度的10分调入效益考核事项。</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二、三级指标所占权重应当根据指标重要程度、项目实施阶段等因素综合确定，准确反映预算项目的产出和效果。</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同类评价对象的指标权重设置应当基本一致，便于评价结果相互比较。</w:t>
      </w:r>
    </w:p>
    <w:p>
      <w:pPr>
        <w:spacing w:line="560" w:lineRule="exact"/>
        <w:ind w:firstLine="640" w:firstLineChars="200"/>
        <w:rPr>
          <w:rFonts w:hint="eastAsia" w:ascii="黑体" w:hAnsi="黑体" w:eastAsia="黑体" w:cs="黑体"/>
          <w:b/>
          <w:bCs/>
          <w:sz w:val="32"/>
          <w:szCs w:val="32"/>
        </w:rPr>
      </w:pPr>
      <w:r>
        <w:rPr>
          <w:rFonts w:hint="eastAsia" w:ascii="黑体" w:hAnsi="黑体" w:eastAsia="黑体" w:cs="黑体"/>
          <w:sz w:val="32"/>
          <w:szCs w:val="32"/>
        </w:rPr>
        <w:t>三、项目执行及绩效实现情况</w:t>
      </w:r>
    </w:p>
    <w:p>
      <w:pPr>
        <w:numPr>
          <w:ilvl w:val="0"/>
          <w:numId w:val="2"/>
        </w:numPr>
        <w:spacing w:line="560"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预算执行情况</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项目安排预算资金共计1200万元，资金已按照规定完成拨付，项目单位完成支付。</w:t>
      </w:r>
      <w:r>
        <w:rPr>
          <w:rFonts w:hint="default" w:ascii="Times New Roman" w:hAnsi="Times New Roman" w:eastAsia="仿宋_GB2312" w:cs="Times New Roman"/>
          <w:sz w:val="32"/>
          <w:szCs w:val="32"/>
        </w:rPr>
        <w:t>根据指标体系评分标准分值</w:t>
      </w:r>
      <w:r>
        <w:rPr>
          <w:rFonts w:hint="default" w:ascii="Times New Roman" w:hAnsi="Times New Roman" w:eastAsia="仿宋_GB2312" w:cs="Times New Roman"/>
          <w:sz w:val="32"/>
          <w:szCs w:val="32"/>
          <w:lang w:val="en-US" w:eastAsia="zh-CN"/>
        </w:rPr>
        <w:t>为10分</w:t>
      </w:r>
      <w:r>
        <w:rPr>
          <w:rFonts w:hint="default" w:ascii="Times New Roman" w:hAnsi="Times New Roman" w:eastAsia="仿宋_GB2312" w:cs="Times New Roman"/>
          <w:sz w:val="32"/>
          <w:szCs w:val="32"/>
        </w:rPr>
        <w:t>。</w:t>
      </w:r>
    </w:p>
    <w:p>
      <w:pPr>
        <w:spacing w:line="560" w:lineRule="exact"/>
        <w:rPr>
          <w:rFonts w:hint="default" w:ascii="Times New Roman" w:hAnsi="Times New Roman" w:eastAsia="仿宋_GB2312" w:cs="Times New Roman"/>
          <w:bCs/>
          <w:sz w:val="32"/>
          <w:szCs w:val="32"/>
        </w:rPr>
      </w:pPr>
      <w:r>
        <w:rPr>
          <w:rFonts w:hint="default" w:ascii="Times New Roman" w:hAnsi="Times New Roman" w:eastAsia="仿宋_GB2312" w:cs="Times New Roman"/>
          <w:b/>
          <w:bCs/>
          <w:sz w:val="32"/>
          <w:szCs w:val="32"/>
        </w:rPr>
        <w:t xml:space="preserve">   </w:t>
      </w:r>
      <w:r>
        <w:rPr>
          <w:rFonts w:hint="eastAsia" w:ascii="楷体" w:hAnsi="楷体" w:eastAsia="楷体" w:cs="楷体"/>
          <w:b/>
          <w:bCs/>
          <w:sz w:val="32"/>
          <w:szCs w:val="32"/>
        </w:rPr>
        <w:t xml:space="preserve"> </w:t>
      </w:r>
      <w:r>
        <w:rPr>
          <w:rFonts w:hint="eastAsia" w:ascii="楷体" w:hAnsi="楷体" w:eastAsia="楷体" w:cs="楷体"/>
          <w:bCs/>
          <w:sz w:val="32"/>
          <w:szCs w:val="32"/>
        </w:rPr>
        <w:t>（二）项目产出</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数量指标：建筑面积186526.36平方米。</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实际数量指标：完成建筑面积205684.61平方米。</w:t>
      </w:r>
      <w:r>
        <w:rPr>
          <w:rFonts w:hint="default" w:ascii="Times New Roman" w:hAnsi="Times New Roman" w:eastAsia="仿宋_GB2312" w:cs="Times New Roman"/>
          <w:sz w:val="32"/>
          <w:szCs w:val="32"/>
        </w:rPr>
        <w:t>根据指标体系评分标准计算分值</w:t>
      </w:r>
      <w:r>
        <w:rPr>
          <w:rFonts w:hint="default" w:ascii="Times New Roman" w:hAnsi="Times New Roman" w:eastAsia="仿宋_GB2312" w:cs="Times New Roman"/>
          <w:sz w:val="32"/>
          <w:szCs w:val="32"/>
          <w:lang w:val="en-US" w:eastAsia="zh-CN"/>
        </w:rPr>
        <w:t>为10分</w:t>
      </w:r>
      <w:r>
        <w:rPr>
          <w:rFonts w:hint="default" w:ascii="Times New Roman" w:hAnsi="Times New Roman" w:eastAsia="仿宋_GB2312" w:cs="Times New Roman"/>
          <w:sz w:val="32"/>
          <w:szCs w:val="32"/>
        </w:rPr>
        <w:t>。</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质量指标：符合行业要求。</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实际质量标准符合行业标准，已完成项目竣工验收。</w:t>
      </w:r>
      <w:r>
        <w:rPr>
          <w:rFonts w:hint="default" w:ascii="Times New Roman" w:hAnsi="Times New Roman" w:eastAsia="仿宋_GB2312" w:cs="Times New Roman"/>
          <w:sz w:val="32"/>
          <w:szCs w:val="32"/>
        </w:rPr>
        <w:t>根据指标体系评分标准计算分值</w:t>
      </w:r>
      <w:r>
        <w:rPr>
          <w:rFonts w:hint="default" w:ascii="Times New Roman" w:hAnsi="Times New Roman" w:eastAsia="仿宋_GB2312" w:cs="Times New Roman"/>
          <w:sz w:val="32"/>
          <w:szCs w:val="32"/>
          <w:lang w:val="en-US" w:eastAsia="zh-CN"/>
        </w:rPr>
        <w:t>为10分</w:t>
      </w:r>
      <w:r>
        <w:rPr>
          <w:rFonts w:hint="default" w:ascii="Times New Roman" w:hAnsi="Times New Roman" w:eastAsia="仿宋_GB2312" w:cs="Times New Roman"/>
          <w:sz w:val="32"/>
          <w:szCs w:val="32"/>
        </w:rPr>
        <w:t>。</w:t>
      </w:r>
    </w:p>
    <w:p>
      <w:pPr>
        <w:pStyle w:val="2"/>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时效指标：完成时限2024年9月之前。</w:t>
      </w:r>
    </w:p>
    <w:p>
      <w:pPr>
        <w:pStyle w:val="2"/>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实际完成时限2024年11月。</w:t>
      </w:r>
      <w:r>
        <w:rPr>
          <w:rFonts w:hint="default" w:ascii="Times New Roman" w:hAnsi="Times New Roman" w:eastAsia="仿宋_GB2312" w:cs="Times New Roman"/>
          <w:sz w:val="32"/>
          <w:szCs w:val="32"/>
        </w:rPr>
        <w:t>根据指标体系评分标准分值</w:t>
      </w:r>
      <w:r>
        <w:rPr>
          <w:rFonts w:hint="default" w:ascii="Times New Roman" w:hAnsi="Times New Roman" w:eastAsia="仿宋_GB2312" w:cs="Times New Roman"/>
          <w:sz w:val="32"/>
          <w:szCs w:val="32"/>
          <w:lang w:val="en-US" w:eastAsia="zh-CN"/>
        </w:rPr>
        <w:t>为</w:t>
      </w:r>
      <w:r>
        <w:rPr>
          <w:rFonts w:hint="default" w:ascii="Times New Roman" w:hAnsi="Times New Roman" w:eastAsia="仿宋_GB2312" w:cs="Times New Roman"/>
          <w:sz w:val="32"/>
          <w:szCs w:val="32"/>
        </w:rPr>
        <w:t>计算</w:t>
      </w:r>
      <w:r>
        <w:rPr>
          <w:rFonts w:hint="default" w:ascii="Times New Roman" w:hAnsi="Times New Roman" w:eastAsia="仿宋_GB2312" w:cs="Times New Roman"/>
          <w:sz w:val="32"/>
          <w:szCs w:val="32"/>
          <w:lang w:val="en-US" w:eastAsia="zh-CN"/>
        </w:rPr>
        <w:t>6分</w:t>
      </w:r>
      <w:r>
        <w:rPr>
          <w:rFonts w:hint="default" w:ascii="Times New Roman" w:hAnsi="Times New Roman" w:eastAsia="仿宋_GB2312" w:cs="Times New Roman"/>
          <w:sz w:val="32"/>
          <w:szCs w:val="32"/>
        </w:rPr>
        <w:t>。</w:t>
      </w:r>
    </w:p>
    <w:p>
      <w:pPr>
        <w:pStyle w:val="2"/>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成本指标：控制在预算内，投资数应小于12.3亿元。</w:t>
      </w:r>
    </w:p>
    <w:p>
      <w:pPr>
        <w:pStyle w:val="2"/>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实际成本指标，投资数11.7亿元。</w:t>
      </w:r>
      <w:r>
        <w:rPr>
          <w:rFonts w:hint="default" w:ascii="Times New Roman" w:hAnsi="Times New Roman" w:eastAsia="仿宋_GB2312" w:cs="Times New Roman"/>
          <w:sz w:val="32"/>
          <w:szCs w:val="32"/>
        </w:rPr>
        <w:t>根据指标体系评分标准计算分值</w:t>
      </w:r>
      <w:r>
        <w:rPr>
          <w:rFonts w:hint="default" w:ascii="Times New Roman" w:hAnsi="Times New Roman" w:eastAsia="仿宋_GB2312" w:cs="Times New Roman"/>
          <w:sz w:val="32"/>
          <w:szCs w:val="32"/>
          <w:lang w:val="en-US" w:eastAsia="zh-CN"/>
        </w:rPr>
        <w:t>为10分</w:t>
      </w:r>
      <w:r>
        <w:rPr>
          <w:rFonts w:hint="default" w:ascii="Times New Roman" w:hAnsi="Times New Roman" w:eastAsia="仿宋_GB2312" w:cs="Times New Roman"/>
          <w:sz w:val="32"/>
          <w:szCs w:val="32"/>
        </w:rPr>
        <w:t>。</w:t>
      </w:r>
    </w:p>
    <w:p>
      <w:pPr>
        <w:spacing w:line="560"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（三）项目效益</w:t>
      </w:r>
    </w:p>
    <w:p>
      <w:pPr>
        <w:pStyle w:val="2"/>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经济效益</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促进当地经济发展，年纳税2800万元。</w:t>
      </w:r>
    </w:p>
    <w:p>
      <w:pPr>
        <w:pStyle w:val="2"/>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实际经济效益：项目建设有力促进当地经济发展，对加快整个华北地区物流经济发展，调整物流产业发展趋势、产业结构，增加居民收入和全面建成小康社会将起到积极的推动作用，达到居民增收、企业增效、财税增加的目标。目前项目仍处于过渡期，尚未完全达产，纳税额为660.23万元。</w:t>
      </w:r>
      <w:r>
        <w:rPr>
          <w:rFonts w:hint="default" w:ascii="Times New Roman" w:hAnsi="Times New Roman" w:eastAsia="仿宋_GB2312" w:cs="Times New Roman"/>
          <w:sz w:val="32"/>
          <w:szCs w:val="32"/>
        </w:rPr>
        <w:t>根据指标体系评分标准计算分值</w:t>
      </w:r>
      <w:r>
        <w:rPr>
          <w:rFonts w:hint="default" w:ascii="Times New Roman" w:hAnsi="Times New Roman" w:eastAsia="仿宋_GB2312" w:cs="Times New Roman"/>
          <w:sz w:val="32"/>
          <w:szCs w:val="32"/>
          <w:lang w:val="en-US" w:eastAsia="zh-CN"/>
        </w:rPr>
        <w:t>为6分</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社会效益</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推动我市冷链物流产业发展，带动区域周边就业。带动周边就业人事不少于2000人。</w:t>
      </w:r>
    </w:p>
    <w:p>
      <w:pPr>
        <w:pStyle w:val="2"/>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实际社会效益：项目通过提供丰富多样的生活必需品和便利的采购环境，不仅满足了当地居民的日常需求，还通过物流车极大地丰富了周围京津冀居民生活的选择。这使得居民们能够更加方便地购买到各种生活用品，提高了他们的生活质量。项目的发展带来了大量的劳动就业机会，吸引了众多人才前来工作，从而促进了周边地区的经济发展。这些就业机会不仅为当地居民提供了稳定的收入来源，还提升了他们的生活水平。项目直接带动就业人数约2500人，间接带动就业人数达8000人。</w:t>
      </w:r>
      <w:r>
        <w:rPr>
          <w:rFonts w:hint="default" w:ascii="Times New Roman" w:hAnsi="Times New Roman" w:eastAsia="仿宋_GB2312" w:cs="Times New Roman"/>
          <w:sz w:val="32"/>
          <w:szCs w:val="32"/>
        </w:rPr>
        <w:t>根据指标体系评分标准计算分值</w:t>
      </w:r>
      <w:r>
        <w:rPr>
          <w:rFonts w:hint="default" w:ascii="Times New Roman" w:hAnsi="Times New Roman" w:eastAsia="仿宋_GB2312" w:cs="Times New Roman"/>
          <w:sz w:val="32"/>
          <w:szCs w:val="32"/>
          <w:lang w:val="en-US" w:eastAsia="zh-CN"/>
        </w:rPr>
        <w:t>为10分</w:t>
      </w:r>
      <w:r>
        <w:rPr>
          <w:rFonts w:hint="default" w:ascii="Times New Roman" w:hAnsi="Times New Roman" w:eastAsia="仿宋_GB2312" w:cs="Times New Roman"/>
          <w:sz w:val="32"/>
          <w:szCs w:val="32"/>
        </w:rPr>
        <w:t>。</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生态效益</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项目建设符合环评要求。</w:t>
      </w:r>
    </w:p>
    <w:p>
      <w:pPr>
        <w:pStyle w:val="2"/>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实际生态效益：项目建设符合环保相关政策。</w:t>
      </w:r>
      <w:r>
        <w:rPr>
          <w:rFonts w:hint="default" w:ascii="Times New Roman" w:hAnsi="Times New Roman" w:eastAsia="仿宋_GB2312" w:cs="Times New Roman"/>
          <w:sz w:val="32"/>
          <w:szCs w:val="32"/>
        </w:rPr>
        <w:t>根据指标体系评分标准计算分值</w:t>
      </w:r>
      <w:r>
        <w:rPr>
          <w:rFonts w:hint="default" w:ascii="Times New Roman" w:hAnsi="Times New Roman" w:eastAsia="仿宋_GB2312" w:cs="Times New Roman"/>
          <w:sz w:val="32"/>
          <w:szCs w:val="32"/>
          <w:lang w:val="en-US" w:eastAsia="zh-CN"/>
        </w:rPr>
        <w:t>为10分</w:t>
      </w:r>
      <w:r>
        <w:rPr>
          <w:rFonts w:hint="default" w:ascii="Times New Roman" w:hAnsi="Times New Roman" w:eastAsia="仿宋_GB2312" w:cs="Times New Roman"/>
          <w:sz w:val="32"/>
          <w:szCs w:val="32"/>
        </w:rPr>
        <w:t>。</w:t>
      </w:r>
    </w:p>
    <w:p>
      <w:pPr>
        <w:pStyle w:val="2"/>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可持续影响</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对石家庄市冷链物流产业产生积极长远影响。</w:t>
      </w:r>
    </w:p>
    <w:p>
      <w:pPr>
        <w:pStyle w:val="2"/>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实际可持续影响：冷链物流城市集配中心项目作为核心载体项目，成功助力石家庄市纳入国家骨干冷链物流基地建设名单，为石家庄市冷链物流产业发展提供了积极长远发展，项目的实施促进石家庄市冷链物流产业专业化、生产标准化、技术规范化、经营集约化、服务社会化、产后加工现代化，有力地促进冷链物流产业再上新台阶。</w:t>
      </w:r>
      <w:r>
        <w:rPr>
          <w:rFonts w:hint="default" w:ascii="Times New Roman" w:hAnsi="Times New Roman" w:eastAsia="仿宋_GB2312" w:cs="Times New Roman"/>
          <w:sz w:val="32"/>
          <w:szCs w:val="32"/>
        </w:rPr>
        <w:t>根据指标体系评分标准</w:t>
      </w:r>
      <w:r>
        <w:rPr>
          <w:rFonts w:hint="default" w:ascii="Times New Roman" w:hAnsi="Times New Roman" w:eastAsia="仿宋_GB2312" w:cs="Times New Roman"/>
          <w:sz w:val="32"/>
          <w:szCs w:val="32"/>
          <w:lang w:val="en-US" w:eastAsia="zh-CN"/>
        </w:rPr>
        <w:t>计算</w:t>
      </w:r>
      <w:r>
        <w:rPr>
          <w:rFonts w:hint="default" w:ascii="Times New Roman" w:hAnsi="Times New Roman" w:eastAsia="仿宋_GB2312" w:cs="Times New Roman"/>
          <w:sz w:val="32"/>
          <w:szCs w:val="32"/>
        </w:rPr>
        <w:t>分值</w:t>
      </w:r>
      <w:r>
        <w:rPr>
          <w:rFonts w:hint="default" w:ascii="Times New Roman" w:hAnsi="Times New Roman" w:eastAsia="仿宋_GB2312" w:cs="Times New Roman"/>
          <w:sz w:val="32"/>
          <w:szCs w:val="32"/>
          <w:lang w:val="en-US" w:eastAsia="zh-CN"/>
        </w:rPr>
        <w:t>为10分</w:t>
      </w:r>
      <w:r>
        <w:rPr>
          <w:rFonts w:hint="default" w:ascii="Times New Roman" w:hAnsi="Times New Roman" w:eastAsia="仿宋_GB2312" w:cs="Times New Roman"/>
          <w:sz w:val="32"/>
          <w:szCs w:val="32"/>
        </w:rPr>
        <w:t>。</w:t>
      </w:r>
    </w:p>
    <w:p>
      <w:pPr>
        <w:spacing w:line="560" w:lineRule="exact"/>
        <w:ind w:firstLine="640" w:firstLineChars="200"/>
        <w:rPr>
          <w:rFonts w:hint="eastAsia" w:ascii="楷体" w:hAnsi="楷体" w:eastAsia="楷体" w:cs="楷体"/>
          <w:bCs/>
          <w:sz w:val="32"/>
          <w:szCs w:val="32"/>
        </w:rPr>
      </w:pPr>
      <w:bookmarkStart w:id="0" w:name="_GoBack"/>
      <w:r>
        <w:rPr>
          <w:rFonts w:hint="eastAsia" w:ascii="楷体" w:hAnsi="楷体" w:eastAsia="楷体" w:cs="楷体"/>
          <w:bCs/>
          <w:sz w:val="32"/>
          <w:szCs w:val="32"/>
        </w:rPr>
        <w:t>（四）满意度</w:t>
      </w:r>
    </w:p>
    <w:bookmarkEnd w:id="0"/>
    <w:p>
      <w:pPr>
        <w:spacing w:line="560" w:lineRule="exact"/>
        <w:ind w:firstLine="640"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sz w:val="32"/>
          <w:szCs w:val="32"/>
          <w:lang w:val="en-US" w:eastAsia="zh-CN"/>
        </w:rPr>
        <w:t>通过</w:t>
      </w:r>
      <w:r>
        <w:rPr>
          <w:rFonts w:hint="default" w:ascii="Times New Roman" w:hAnsi="Times New Roman" w:eastAsia="仿宋_GB2312" w:cs="Times New Roman"/>
          <w:sz w:val="32"/>
          <w:szCs w:val="32"/>
        </w:rPr>
        <w:t>项目</w:t>
      </w:r>
      <w:r>
        <w:rPr>
          <w:rFonts w:hint="default" w:ascii="Times New Roman" w:hAnsi="Times New Roman" w:eastAsia="仿宋_GB2312" w:cs="Times New Roman"/>
          <w:sz w:val="32"/>
          <w:szCs w:val="32"/>
          <w:lang w:val="en-US" w:eastAsia="zh-CN"/>
        </w:rPr>
        <w:t>对服务对象</w:t>
      </w:r>
      <w:r>
        <w:rPr>
          <w:rFonts w:hint="default" w:ascii="Times New Roman" w:hAnsi="Times New Roman" w:eastAsia="仿宋_GB2312" w:cs="Times New Roman"/>
          <w:sz w:val="32"/>
          <w:szCs w:val="32"/>
        </w:rPr>
        <w:t>服务对象满意度进行分析，</w:t>
      </w:r>
      <w:r>
        <w:rPr>
          <w:rFonts w:hint="default" w:ascii="Times New Roman" w:hAnsi="Times New Roman" w:eastAsia="仿宋_GB2312" w:cs="Times New Roman"/>
          <w:sz w:val="32"/>
          <w:szCs w:val="32"/>
          <w:lang w:val="en-US" w:eastAsia="zh-CN"/>
        </w:rPr>
        <w:t>园区各个入驻商户对项目表示积极肯定，园区服务质量较好，园区环境整洁，提供大量就业岗位，对项目满意度高，约为99%。</w:t>
      </w:r>
      <w:r>
        <w:rPr>
          <w:rFonts w:hint="default" w:ascii="Times New Roman" w:hAnsi="Times New Roman" w:eastAsia="仿宋_GB2312" w:cs="Times New Roman"/>
          <w:sz w:val="32"/>
          <w:szCs w:val="32"/>
        </w:rPr>
        <w:t>根据指标体系评分标准计算分值</w:t>
      </w:r>
      <w:r>
        <w:rPr>
          <w:rFonts w:hint="default" w:ascii="Times New Roman" w:hAnsi="Times New Roman" w:eastAsia="仿宋_GB2312" w:cs="Times New Roman"/>
          <w:sz w:val="32"/>
          <w:szCs w:val="32"/>
          <w:lang w:val="en-US" w:eastAsia="zh-CN"/>
        </w:rPr>
        <w:t>为10分</w:t>
      </w:r>
      <w:r>
        <w:rPr>
          <w:rFonts w:hint="default" w:ascii="Times New Roman" w:hAnsi="Times New Roman" w:eastAsia="仿宋_GB2312" w:cs="Times New Roman"/>
          <w:sz w:val="32"/>
          <w:szCs w:val="32"/>
        </w:rPr>
        <w:t>。</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四、项目综合评价结论和评价等级</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根据项目执行情况和项目绩效情况，</w:t>
      </w:r>
      <w:r>
        <w:rPr>
          <w:rFonts w:hint="default" w:ascii="Times New Roman" w:hAnsi="Times New Roman" w:eastAsia="仿宋_GB2312" w:cs="Times New Roman"/>
          <w:sz w:val="32"/>
          <w:szCs w:val="32"/>
          <w:lang w:val="en-US" w:eastAsia="zh-CN"/>
        </w:rPr>
        <w:t>冷链物流城市集配中心项目（一期）</w:t>
      </w:r>
      <w:r>
        <w:rPr>
          <w:rFonts w:hint="default" w:ascii="Times New Roman" w:hAnsi="Times New Roman" w:eastAsia="仿宋_GB2312" w:cs="Times New Roman"/>
          <w:sz w:val="32"/>
          <w:szCs w:val="32"/>
        </w:rPr>
        <w:t>总得分</w:t>
      </w:r>
      <w:r>
        <w:rPr>
          <w:rFonts w:hint="default" w:ascii="Times New Roman" w:hAnsi="Times New Roman" w:eastAsia="仿宋_GB2312" w:cs="Times New Roman"/>
          <w:sz w:val="32"/>
          <w:szCs w:val="32"/>
          <w:lang w:val="en-US" w:eastAsia="zh-CN"/>
        </w:rPr>
        <w:t>为92分，</w:t>
      </w:r>
      <w:r>
        <w:rPr>
          <w:rFonts w:hint="default" w:ascii="Times New Roman" w:hAnsi="Times New Roman" w:eastAsia="仿宋_GB2312" w:cs="Times New Roman"/>
          <w:sz w:val="32"/>
          <w:szCs w:val="32"/>
        </w:rPr>
        <w:t>项目综合绩效评价等级</w:t>
      </w:r>
      <w:r>
        <w:rPr>
          <w:rFonts w:hint="default" w:ascii="Times New Roman" w:hAnsi="Times New Roman" w:eastAsia="仿宋_GB2312" w:cs="Times New Roman"/>
          <w:sz w:val="32"/>
          <w:szCs w:val="32"/>
          <w:lang w:val="en-US" w:eastAsia="zh-CN"/>
        </w:rPr>
        <w:t>为：优秀。</w:t>
      </w:r>
    </w:p>
    <w:p>
      <w:pPr>
        <w:spacing w:line="56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五、存在的问题及改进措施</w:t>
      </w:r>
    </w:p>
    <w:p>
      <w:pPr>
        <w:spacing w:line="56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无</w:t>
      </w:r>
    </w:p>
    <w:sectPr>
      <w:footerReference r:id="rId3" w:type="default"/>
      <w:pgSz w:w="11906" w:h="16838"/>
      <w:pgMar w:top="1440" w:right="1474" w:bottom="1440" w:left="1587" w:header="851" w:footer="992"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Quad Arrow 3073" o:spid="_x0000_s4097" o:spt="202" type="#_x0000_t202" style="position:absolute;left:0pt;margin-top:0pt;height:144pt;width:144pt;mso-position-horizontal:center;mso-position-horizontal-relative:margin;mso-wrap-style:none;z-index:251659264;mso-width-relative:page;mso-height-relative:page;" filled="f" o:preferrelative="t" stroked="f" coordsize="21600,2160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EB8B9B2"/>
    <w:multiLevelType w:val="singleLevel"/>
    <w:tmpl w:val="FEB8B9B2"/>
    <w:lvl w:ilvl="0" w:tentative="0">
      <w:start w:val="2"/>
      <w:numFmt w:val="chineseCounting"/>
      <w:suff w:val="nothing"/>
      <w:lvlText w:val="（%1）"/>
      <w:lvlJc w:val="left"/>
      <w:rPr>
        <w:rFonts w:hint="eastAsia"/>
      </w:rPr>
    </w:lvl>
  </w:abstractNum>
  <w:abstractNum w:abstractNumId="1">
    <w:nsid w:val="5E68489B"/>
    <w:multiLevelType w:val="singleLevel"/>
    <w:tmpl w:val="5E68489B"/>
    <w:lvl w:ilvl="0" w:tentative="0">
      <w:start w:val="1"/>
      <w:numFmt w:val="chineseCounting"/>
      <w:suff w:val="nothing"/>
      <w:lvlText w:val="（%1）"/>
      <w:lvlJc w:val="left"/>
      <w:rPr>
        <w:rFonts w:ascii="楷体" w:hAnsi="楷体" w:eastAsia="楷体"/>
        <w:b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zgxMzVhZTBlNDUyZWUxNDVhMjNkN2E1NjFlOTE5NDcifQ=="/>
  </w:docVars>
  <w:rsids>
    <w:rsidRoot w:val="0EBD2122"/>
    <w:rsid w:val="00117DDC"/>
    <w:rsid w:val="001349D3"/>
    <w:rsid w:val="00162D31"/>
    <w:rsid w:val="00165DE5"/>
    <w:rsid w:val="00222498"/>
    <w:rsid w:val="00721C4E"/>
    <w:rsid w:val="007B0AB6"/>
    <w:rsid w:val="007E6C1F"/>
    <w:rsid w:val="008246DE"/>
    <w:rsid w:val="008B5355"/>
    <w:rsid w:val="009D34BA"/>
    <w:rsid w:val="00AF566A"/>
    <w:rsid w:val="00B6553A"/>
    <w:rsid w:val="00EA4CBF"/>
    <w:rsid w:val="02647B68"/>
    <w:rsid w:val="02B43A28"/>
    <w:rsid w:val="066733F9"/>
    <w:rsid w:val="07EC5C65"/>
    <w:rsid w:val="0EB97A43"/>
    <w:rsid w:val="0EBD2122"/>
    <w:rsid w:val="0F1463B6"/>
    <w:rsid w:val="11B71E6A"/>
    <w:rsid w:val="1AAF0063"/>
    <w:rsid w:val="1BE140DE"/>
    <w:rsid w:val="248C197D"/>
    <w:rsid w:val="24DB06BE"/>
    <w:rsid w:val="252959AF"/>
    <w:rsid w:val="27460ACD"/>
    <w:rsid w:val="277A6671"/>
    <w:rsid w:val="292D35B7"/>
    <w:rsid w:val="29C0270B"/>
    <w:rsid w:val="2A650A9A"/>
    <w:rsid w:val="2AA53DB6"/>
    <w:rsid w:val="33EB6CFF"/>
    <w:rsid w:val="39561C2B"/>
    <w:rsid w:val="3B625C0A"/>
    <w:rsid w:val="3CEE1963"/>
    <w:rsid w:val="45C478EB"/>
    <w:rsid w:val="4668222B"/>
    <w:rsid w:val="4A1B7A8B"/>
    <w:rsid w:val="4AFD496D"/>
    <w:rsid w:val="4F5A3371"/>
    <w:rsid w:val="512260B4"/>
    <w:rsid w:val="54BF33FF"/>
    <w:rsid w:val="597244E8"/>
    <w:rsid w:val="5DA62BB3"/>
    <w:rsid w:val="66AF0CE5"/>
    <w:rsid w:val="679947AE"/>
    <w:rsid w:val="68025E5D"/>
    <w:rsid w:val="6E5B14A6"/>
    <w:rsid w:val="707413BC"/>
    <w:rsid w:val="71EB56F7"/>
    <w:rsid w:val="73D62207"/>
    <w:rsid w:val="7BB51E06"/>
    <w:rsid w:val="7C387F7C"/>
    <w:rsid w:val="7D057BEB"/>
    <w:rsid w:val="7ECF74AA"/>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paragraph" w:styleId="2">
    <w:name w:val="heading 2"/>
    <w:basedOn w:val="1"/>
    <w:next w:val="1"/>
    <w:qFormat/>
    <w:uiPriority w:val="0"/>
    <w:pPr>
      <w:keepNext/>
      <w:keepLines/>
      <w:tabs>
        <w:tab w:val="left" w:pos="0"/>
      </w:tabs>
      <w:spacing w:beforeLines="0" w:beforeAutospacing="0" w:afterLines="0" w:afterAutospacing="0" w:line="360" w:lineRule="auto"/>
      <w:ind w:firstLine="480" w:firstLineChars="200"/>
      <w:jc w:val="left"/>
      <w:outlineLvl w:val="1"/>
    </w:pPr>
    <w:rPr>
      <w:rFonts w:ascii="Calibri" w:hAnsi="Calibri" w:eastAsia="宋体" w:cs="Times New Roman"/>
      <w:sz w:val="24"/>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customStyle="1" w:styleId="7">
    <w:name w:val="正文1"/>
    <w:basedOn w:val="1"/>
    <w:qFormat/>
    <w:uiPriority w:val="0"/>
    <w:pPr>
      <w:snapToGrid w:val="0"/>
      <w:spacing w:line="500" w:lineRule="atLeast"/>
      <w:ind w:firstLine="539"/>
    </w:pPr>
    <w:rPr>
      <w:rFonts w:ascii="宋体" w:hAnsi="宋体"/>
      <w:spacing w:val="14"/>
      <w:kern w:val="0"/>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967</Words>
  <Characters>988</Characters>
  <Lines>7</Lines>
  <Paragraphs>2</Paragraphs>
  <TotalTime>16</TotalTime>
  <ScaleCrop>false</ScaleCrop>
  <LinksUpToDate>false</LinksUpToDate>
  <CharactersWithSpaces>996</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2020-02-04T03:46:00Z</dcterms:created>
  <dc:creator>欣欣大人</dc:creator>
  <cp:lastModifiedBy>Administrator</cp:lastModifiedBy>
  <cp:lastPrinted>2024-03-06T07:38:00Z</cp:lastPrinted>
  <dcterms:modified xsi:type="dcterms:W3CDTF">2025-03-31T07:53:27Z</dcterms:modified>
  <dc:title>附件3：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CF3A8BA4139C422EB901F5C05BDBA890_12</vt:lpwstr>
  </property>
  <property fmtid="{D5CDD505-2E9C-101B-9397-08002B2CF9AE}" pid="4" name="KSOTemplateDocerSaveRecord">
    <vt:lpwstr>eyJoZGlkIjoiMmQzODE5YTIyZTRmODI0OWQ1ZGUxMWYyNmI1NWE1ZTMiLCJ1c2VySWQiOiI2NzM3NTM1MzkifQ==</vt:lpwstr>
  </property>
</Properties>
</file>