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mc:AlternateContent>
          <mc:Choice Requires="wps">
            <w:drawing>
              <wp:anchor distT="0" distB="0" distL="114300" distR="114300" simplePos="0" relativeHeight="251660288" behindDoc="0" locked="0" layoutInCell="1" allowOverlap="1">
                <wp:simplePos x="0" y="0"/>
                <wp:positionH relativeFrom="column">
                  <wp:posOffset>-142240</wp:posOffset>
                </wp:positionH>
                <wp:positionV relativeFrom="paragraph">
                  <wp:posOffset>253365</wp:posOffset>
                </wp:positionV>
                <wp:extent cx="6026785"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026785" cy="2862580"/>
                        </a:xfrm>
                        <a:prstGeom prst="rect">
                          <a:avLst/>
                        </a:prstGeom>
                        <a:noFill/>
                        <a:ln>
                          <a:noFill/>
                        </a:ln>
                        <a:effectLst/>
                      </wps:spPr>
                      <wps:txbx>
                        <w:txbxContent>
                          <w:p>
                            <w:pPr>
                              <w:spacing w:line="1400" w:lineRule="exact"/>
                              <w:jc w:val="left"/>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11.2pt;margin-top:19.95pt;height:225.4pt;width:474.55pt;z-index:251660288;mso-width-relative:page;mso-height-relative:page;" filled="f" stroked="f" coordsize="21600,21600" o:gfxdata="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8YHZXYAAAACgEAAA8AAAAA&#10;AAAAAQAgAAAAIgAAAGRycy9kb3ducmV2LnhtbFBLAQIUABQAAAAIAIdO4kAi1qf32wEAAIADAAAO&#10;AAAAAAAAAAEAIAAAACcBAABkcnMvZTJvRG9jLnhtbFBLBQYAAAAABgAGAFkBAAB0BQAAAAA=&#10;">
                <v:fill on="f" focussize="0,0"/>
                <v:stroke on="f"/>
                <v:imagedata o:title=""/>
                <o:lock v:ext="edit" aspectratio="f"/>
                <v:textbox>
                  <w:txbxContent>
                    <w:p>
                      <w:pPr>
                        <w:spacing w:line="1400" w:lineRule="exact"/>
                        <w:jc w:val="left"/>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r>
        <w:drawing>
          <wp:anchor distT="0" distB="0" distL="114300" distR="114300" simplePos="0" relativeHeight="251659264" behindDoc="1" locked="0" layoutInCell="1" allowOverlap="1">
            <wp:simplePos x="0" y="0"/>
            <wp:positionH relativeFrom="column">
              <wp:posOffset>-1857375</wp:posOffset>
            </wp:positionH>
            <wp:positionV relativeFrom="paragraph">
              <wp:posOffset>-1579245</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348</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lang w:eastAsia="zh-CN"/>
        </w:rPr>
        <w:t>部门</w:t>
      </w:r>
      <w:r>
        <w:rPr>
          <w:rFonts w:hint="eastAsia" w:ascii="黑体" w:hAnsi="黑体" w:eastAsia="黑体" w:cs="黑体"/>
          <w:color w:val="000000"/>
          <w:sz w:val="40"/>
          <w:szCs w:val="40"/>
        </w:rPr>
        <w:t>名称</w:t>
      </w:r>
      <w:r>
        <w:rPr>
          <w:rFonts w:hint="eastAsia" w:ascii="楷体_GB2312" w:hAnsi="楷体_GB2312" w:eastAsia="楷体_GB2312" w:cs="楷体_GB2312"/>
          <w:color w:val="000000"/>
          <w:sz w:val="40"/>
          <w:szCs w:val="40"/>
        </w:rPr>
        <w:t>：石家庄市交通运输局(</w:t>
      </w:r>
      <w:r>
        <w:rPr>
          <w:rFonts w:hint="eastAsia" w:ascii="楷体_GB2312" w:hAnsi="楷体_GB2312" w:eastAsia="楷体_GB2312" w:cs="楷体_GB2312"/>
          <w:color w:val="000000"/>
          <w:sz w:val="40"/>
          <w:szCs w:val="40"/>
          <w:lang w:eastAsia="zh-CN"/>
        </w:rPr>
        <w:t>汇总</w:t>
      </w:r>
      <w:r>
        <w:rPr>
          <w:rFonts w:hint="eastAsia" w:ascii="楷体_GB2312" w:hAnsi="楷体_GB2312" w:eastAsia="楷体_GB2312" w:cs="楷体_GB2312"/>
          <w:color w:val="000000"/>
          <w:sz w:val="40"/>
          <w:szCs w:val="40"/>
        </w:rPr>
        <w:t>)</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pStyle w:val="2"/>
        <w:numPr>
          <w:numId w:val="0"/>
        </w:numPr>
        <w:ind w:leftChars="0"/>
        <w:rPr>
          <w:rFonts w:hint="eastAsia"/>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b w:val="0"/>
          <w:sz w:val="72"/>
          <w:szCs w:val="72"/>
        </w:rPr>
      </w:pPr>
      <w:r>
        <w:rPr>
          <w:rFonts w:ascii="Times New Roman" w:eastAsia="方正小标宋_GBK"/>
          <w:b w:val="0"/>
          <w:sz w:val="72"/>
          <w:szCs w:val="72"/>
        </w:rPr>
        <w:t>石家庄市交通运输局</w:t>
      </w:r>
    </w:p>
    <w:p>
      <w:pPr>
        <w:widowControl/>
        <w:spacing w:before="0" w:beforeLines="0" w:beforeAutospacing="0" w:after="0" w:afterLines="0" w:afterAutospacing="0" w:line="360" w:lineRule="auto"/>
        <w:jc w:val="center"/>
        <w:rPr>
          <w:rFonts w:ascii="Times New Roman" w:eastAsia="方正小标宋_GBK"/>
          <w:spacing w:val="-34"/>
          <w:sz w:val="72"/>
          <w:szCs w:val="72"/>
        </w:rPr>
      </w:pPr>
      <w:r>
        <w:rPr>
          <w:rFonts w:ascii="Times New Roman" w:eastAsia="仿宋_GB2312"/>
          <w:b w:val="0"/>
          <w:spacing w:val="-34"/>
          <w:sz w:val="72"/>
          <w:szCs w:val="72"/>
        </w:rPr>
        <w:t>2024</w:t>
      </w:r>
      <w:r>
        <w:rPr>
          <w:rFonts w:ascii="Times New Roman" w:eastAsia="方正小标宋_GBK"/>
          <w:b w:val="0"/>
          <w:spacing w:val="-34"/>
          <w:sz w:val="72"/>
          <w:szCs w:val="72"/>
        </w:rPr>
        <w:t>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石家庄市交通运输局</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九</w:t>
      </w:r>
      <w:r>
        <w:rPr>
          <w:rFonts w:ascii="Times New Roman" w:eastAsia="楷体_GB2312"/>
          <w:b w:val="0"/>
          <w:sz w:val="44"/>
          <w:szCs w:val="44"/>
        </w:rPr>
        <w:t>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1984"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第一部分部门概况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第一部分部门概况</w:t>
      </w:r>
    </w:p>
    <w:p>
      <w:pPr>
        <w:rPr>
          <w:rFonts w:ascii="Times New Roman" w:eastAsia="黑体"/>
          <w:b w:val="0"/>
          <w:sz w:val="32"/>
          <w:szCs w:val="32"/>
        </w:rPr>
      </w:pPr>
      <w:r>
        <w:rPr>
          <w:rFonts w:ascii="Times New Roman" w:eastAsia="黑体"/>
          <w:b w:val="0"/>
          <w:sz w:val="32"/>
          <w:szCs w:val="32"/>
        </w:rPr>
        <w:br w:type="page"/>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_GB2312" w:hAnsi="仿宋_GB2312" w:eastAsia="仿宋_GB2312" w:cs="仿宋_GB2312"/>
          <w:sz w:val="32"/>
          <w:szCs w:val="32"/>
        </w:rPr>
      </w:pPr>
      <w:r>
        <w:rPr>
          <w:rFonts w:hint="default" w:ascii="Arial" w:hAnsi="Arial" w:eastAsia="Arial" w:cs="Arial"/>
          <w:i w:val="0"/>
          <w:iCs w:val="0"/>
          <w:caps w:val="0"/>
          <w:color w:val="000000"/>
          <w:spacing w:val="0"/>
          <w:sz w:val="18"/>
          <w:szCs w:val="18"/>
          <w:highlight w:val="none"/>
          <w:shd w:val="clear" w:fill="FFFFFF"/>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 xml:space="preserve">  </w:t>
      </w:r>
      <w:r>
        <w:rPr>
          <w:rFonts w:hint="eastAsia" w:ascii="仿宋_GB2312" w:hAnsi="仿宋_GB2312" w:eastAsia="仿宋_GB2312" w:cs="仿宋_GB2312"/>
          <w:color w:val="000000"/>
          <w:kern w:val="0"/>
          <w:sz w:val="32"/>
          <w:szCs w:val="32"/>
          <w:lang w:val="en-US" w:eastAsia="zh-CN" w:bidi="ar"/>
        </w:rPr>
        <w:t>根据《石家庄市交通运输局职能配置、内设机构和人员编制规定》，石家庄市交通运输局的主要职责是：</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（一）拟订全市交通运输行业发展规划并组织实施；起草交通运输方面地方性法规和政府规章草案；参与拟订有关物流业发展规划并监督实施。</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会同有关部门编制全市综合交通运输体系规划并组织实施；协调规划全市综合交通运输体系建设，组织协调相关运输方式的合理布局和有效衔接;负责建立完善交通运输行业联运服务体系；拟订全市公路建设、城市公共交通（不含轨道交通,下同）建设和道路（含水路，下同）运输中长期发展规划；拟订公路建设与养护年度指令性计划并组织实施；负责交通运输枢纽规划和管理。</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承担全市公路建设市场监管责任。负责全市国省干线公路（含国防公路）的规划、建设、养护、管理，依法维护路产路权、保护公路设施，开发公路用地；依法查处超限超载运输车辆；负责交通运输工程建设、工程质量和安全生产的监管；负责全市交通基本建设项目招投标活动的监督管理；负责全市收费公路管理；配合做好国防交通有关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承担道路运输市场监管责任。负责道路运输经营、道路运输相关业务和城市公共交通等行业管理工作；负责市内公交站、场、点的规划、建设和管理，依法保护和支持合法经营，取缔非法运输；指导城乡客运及有关设施规划和管理；承担有关物流市场管理。</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（五）承担管辖水域水上交通安全监管责任。负责全市渔船检验和监督管理工作，会同有关部门，依法组织或参与事故调查处理。</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负责提出全市交通运输行业固定资产投资规模和方向、市财政性资金安排意见；负责监督市本级交通运输系统国有资产经营管理工作；负责全市交通运输资金的管理、使用和投资开发工作；指导交通系统内部审计工作；承担交通运输行业财政预算资金的绩效监督和管理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制订全市交通运输行业科技发展规划，组织行业科技创新应用，推动行业技术进步；负责交通运输行业信息化建设，监测分析交通运输运行情况，开展相关统计工作；指导交通运输行业环境保护和节能减排。</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（八）负责全市交通运输综合行政执法和队伍建设有关工作；统筹协调交通运输综合行政执法工作；负责交通运输行业体制改革工作。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（九）负责交通运输系统安全生产和应急管理工作；牵头负责铁路沿线环境安全监管职责；按规定组织协调国家、省、市重点物资和紧急客货运输; 负责市内高速公路及国、省重点干线公路网运行监测和应急处置协调工作。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（十）负责全市交通运输行业的涉外事宜，指导利用外资，开展交通运输经济技术合作与交流。</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（十一）推进京津冀协同发展交通一体化工作。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 ）指导各县（市、区）交通运输相关工作。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（十三）完成市委、市政府交办的其他任务。</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8</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63"/>
        <w:gridCol w:w="2737"/>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863"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737"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199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石家庄市交通运输局(本级)</w:t>
            </w:r>
          </w:p>
        </w:tc>
        <w:tc>
          <w:tcPr>
            <w:tcW w:w="2737" w:type="dxa"/>
            <w:vAlign w:val="center"/>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行政单位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2</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石家庄市交通运输服务中心</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3</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石家庄市公路服务保障中心</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4</w:t>
            </w:r>
          </w:p>
        </w:tc>
        <w:tc>
          <w:tcPr>
            <w:tcW w:w="3863"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石家庄市交通运输综合行政执法支队</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5</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石家庄市公路工程质量安全站</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6</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石家庄市三环路管护中心</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7</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石家庄市公路建设发展中心</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8</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石家庄市邮政快递业安全服务中心</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vAlign w:val="center"/>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p>
      <w:pPr>
        <w:rPr>
          <w:rFonts w:ascii="Times New Roman" w:eastAsia="黑体"/>
          <w:b w:val="0"/>
          <w:sz w:val="44"/>
          <w:szCs w:val="44"/>
        </w:rPr>
      </w:pPr>
      <w:r>
        <w:rPr>
          <w:rFonts w:ascii="Times New Roman" w:eastAsia="黑体"/>
          <w:b w:val="0"/>
          <w:sz w:val="44"/>
          <w:szCs w:val="44"/>
        </w:rPr>
        <w:br w:type="page"/>
      </w:r>
    </w:p>
    <w:p>
      <w:pPr>
        <w:widowControl/>
        <w:spacing w:before="0" w:beforeLines="0" w:beforeAutospacing="0" w:after="0" w:afterLines="0" w:afterAutospacing="0" w:line="360" w:lineRule="auto"/>
        <w:jc w:val="center"/>
        <w:outlineLvl w:val="0"/>
        <w:rPr>
          <w:rFonts w:ascii="Times New Roman" w:eastAsia="黑体"/>
          <w:b w:val="0"/>
          <w:sz w:val="44"/>
          <w:szCs w:val="44"/>
        </w:rPr>
      </w:pPr>
    </w:p>
    <w:tbl>
      <w:tblPr>
        <w:tblStyle w:val="11"/>
        <w:tblW w:w="11071" w:type="dxa"/>
        <w:tblInd w:w="-12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58"/>
        <w:gridCol w:w="624"/>
        <w:gridCol w:w="611"/>
        <w:gridCol w:w="1317"/>
        <w:gridCol w:w="1628"/>
        <w:gridCol w:w="1547"/>
        <w:gridCol w:w="624"/>
        <w:gridCol w:w="1578"/>
        <w:gridCol w:w="3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361" w:hRule="atLeast"/>
        </w:trPr>
        <w:tc>
          <w:tcPr>
            <w:tcW w:w="10687"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357" w:hRule="atLeast"/>
        </w:trPr>
        <w:tc>
          <w:tcPr>
            <w:tcW w:w="10687"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351" w:hRule="atLeast"/>
        </w:trPr>
        <w:tc>
          <w:tcPr>
            <w:tcW w:w="3993"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部门：石家庄市交通运输局</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74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544" w:hRule="atLeast"/>
        </w:trPr>
        <w:tc>
          <w:tcPr>
            <w:tcW w:w="5310"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37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308"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57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57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184,843.29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1,054,095.23</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2,635.63</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3,753.55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147,892.66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423,382.11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57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57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20,408.73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1,241,574.16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1,242,997.43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5,272.59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3,849.32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308"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1,246,846.75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1,246,846.75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07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366"/>
        <w:gridCol w:w="1443"/>
        <w:gridCol w:w="732"/>
        <w:gridCol w:w="53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566"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部门：石家庄市交通运输局                                                                                                         </w:t>
            </w:r>
          </w:p>
        </w:tc>
        <w:tc>
          <w:tcPr>
            <w:tcW w:w="3076"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6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443"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732"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53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6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43"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3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53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6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43"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3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53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6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43"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3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53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6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443"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732"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1,241,574.16</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1,238,938.53</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2,635.63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3,753.55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3,753.55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3,737.35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3,737.35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428.67</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428.67</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2,074.19</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2,074.19</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1,047.61</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1,047.61</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186.88</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186.88</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762.12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762.12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762.12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762.12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45.43</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45.43</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396.54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396.54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38.46</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38.46</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其他行政事业单位医疗支出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281.69</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281.69</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147,892.66</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147,892.66</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9,702.41</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9,702.41</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9,702.41</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9,702.41</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48,290.25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48,290.25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城市建设支出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44,579.00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44,579.00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农村基础设施建设支出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3,711.25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3,711.25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城市基础设施配套费安排的支出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7,900.00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7,900.00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其他城市基础设施配套费安排的支出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7,900.00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7,900.00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421,967.84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419,332.21</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2,635.63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公路水路运输</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49,146.35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46,510.72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2,635.63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1,263.22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1,263.22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488.17</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488.17</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公路建设</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13,350.77</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10,715.14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2,635.63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公路养护</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20,404.79</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20,404.79</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交通运输信息化建设</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46.96</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46.96</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公路运输管理</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2,102.04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2,102.04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其他公路水路运输支出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11,490.39</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11,490.39</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邮政业支出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2140504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行业监管</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车辆通行费安排的支出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352,080.47</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352,080.47</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公路还贷</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320,141.00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320,141.00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其他车辆通行费安排的支出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31,939.47</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31,939.47</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其他交通运输支出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20,612.28</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20,612.28</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公共交通运营补助</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19,812.28</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19,812.28</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其他交通运输支出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资源勘探工业信息等支出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21598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超长期特别国债安排的支出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2159802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制造业</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灾害防治及应急管理支出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自然灾害救灾及恢复重建支出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2240704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自然灾害灾后重建补助</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其他政府性基金及对应专项债务收入安排的支出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其他地方自行试点项目收益专项债券收入安排的支出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债务付息支出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地方政府专项债务付息支出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2320432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政府收费公路专项债券付息支出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9,392.89</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9,392.89</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2320498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其他地方自行试点项目收益专项债券付息支出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4,204.75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4,204.75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434"/>
        <w:gridCol w:w="1275"/>
        <w:gridCol w:w="1294"/>
        <w:gridCol w:w="1012"/>
        <w:gridCol w:w="617"/>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8"/>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661"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部门：石家庄市交通运输局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569"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116"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43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275"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9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012"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1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43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7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9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1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3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7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9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1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3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7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9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1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43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275"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29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012"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1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1,242,997.43</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15,368.22</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1,227,629.20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3,753.55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3,753.55</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3,737.35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3,737.35</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2,074.19</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2,074.19</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1,047.61</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1,047.61</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186.88</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186.88</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771.12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公共卫生</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突发公共卫生事件应急处置</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396.54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396.54</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281.69</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281.69</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147,892.66</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147,892.66</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48,290.25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48,290.25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44,579.00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44,579.00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3,711.25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3,711.25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7,900.00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7,900.00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其他城市基础设施配套费安排的支出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7,900.00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7,900.00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423,382.11</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9,887.81</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413,494.30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50,560.62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9,768.03</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40,792.59</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1,263.22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公路建设</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13,350.77</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13,350.77</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公路养护</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21,819.06</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21,819.06</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交通运输信息化建设</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公路运输管理</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2,102.04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464.79</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1,637.25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11,490.39</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8,044.02</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3,446.37</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邮政业支出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128.74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119.78</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8.96</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2140504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行业监管</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128.74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119.78</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8.96</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车辆通行费安排的支出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352,080.47</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352,080.47</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公路还贷</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320,141.00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320,141.00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其他车辆通行费安排的支出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31,939.47</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31,939.47</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20,612.28</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20,612.28</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公共交通运营补助</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19,812.28</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19,812.28</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资源勘探工业信息等支出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制造业</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自然灾害救灾及恢复重建支出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自然灾害灾后重建补助</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2320432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政府收费公路专项债券付息支出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9,392.89</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9,392.89</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4,204.75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4,204.75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8"/>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781" w:type="dxa"/>
        <w:tblInd w:w="-145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81"/>
        <w:gridCol w:w="624"/>
        <w:gridCol w:w="1427"/>
        <w:gridCol w:w="1659"/>
        <w:gridCol w:w="439"/>
        <w:gridCol w:w="624"/>
        <w:gridCol w:w="458"/>
        <w:gridCol w:w="837"/>
        <w:gridCol w:w="1219"/>
        <w:gridCol w:w="1481"/>
        <w:gridCol w:w="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781"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0781"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291"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部门：石家庄市交通运输局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969"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3632"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149"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581"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481"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432"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581"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481"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32"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481"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432"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184,843.29</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1,054,095.23</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3,753.55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3,753.55</w:t>
            </w: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771.12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771.12</w:t>
            </w: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147,892.66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91,702.41</w:t>
            </w: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56,190.25</w:t>
            </w: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420,746.48</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68,666.01</w:t>
            </w: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352,080.47</w:t>
            </w: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964.74</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964.74</w:t>
            </w: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20,408.73</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20,408.73</w:t>
            </w: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1,238,938.53</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1,240,361.80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186,266.56</w:t>
            </w: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1,054,095.23</w:t>
            </w: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5,272.59</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3,849.32</w:t>
            </w: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3,849.32</w:t>
            </w: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5,272.59</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1,244,211.12</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1,244,211.12</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190,115.88</w:t>
            </w:r>
          </w:p>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1,054,095.23</w:t>
            </w:r>
          </w:p>
        </w:tc>
        <w:tc>
          <w:tcPr>
            <w:tcW w:w="432"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781"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697"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9"/>
        <w:gridCol w:w="1329"/>
        <w:gridCol w:w="705"/>
        <w:gridCol w:w="1305"/>
        <w:gridCol w:w="1366"/>
        <w:gridCol w:w="645"/>
        <w:gridCol w:w="2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7" w:hRule="atLeast"/>
        </w:trPr>
        <w:tc>
          <w:tcPr>
            <w:tcW w:w="8697"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8697"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327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编制部门：石家庄市交通运输局</w:t>
            </w:r>
          </w:p>
        </w:tc>
        <w:tc>
          <w:tcPr>
            <w:tcW w:w="2671"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753"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129"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3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32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01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01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1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6"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10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186,266.56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15,368.22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170,898.34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3,753.55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3,753.55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3,737.35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3,737.35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2,074.19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2,074.19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1,047.61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1,047.61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186.88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186.88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771.12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公共卫生</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2100410</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突发公共卫生事件应急处置</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396.54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396.54</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91,702.41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91,702.41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68,666.01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9,887.81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58,778.20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47,924.99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9,768.03</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38,156.96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1,263.22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公路建设</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10,715.14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10,715.14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2140106</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公路养护</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21,819.06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交通运输信息化建设</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2140112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公路运输管理</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2,102.04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464.79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11,490.39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8,044.02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邮政业支出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128.74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2140504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行业监管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128.74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20,612.28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20,612.28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公共交通运营补助</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19,812.28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19,812.28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自然灾害救灾及恢复重建支出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2240704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自然灾害灾后重建补助</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8697"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部门：石家庄市交通运输局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11,551.30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1,145.48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3,055.10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120.62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1,094.90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2,494.85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1,768.58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15.37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1,061.07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25.31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186.88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53.65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457.92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136.33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148.90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21.55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185.95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114.79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976.29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56.61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120.86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2,671.45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27.89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21.03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2,501.02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8.59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90.07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39.07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106.55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107.24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188.75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51.90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116.23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14,222.75</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1,145.48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部门：石家庄市交通运输局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1,054,095.23</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1,054,095.23</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1,054,095.23</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56,190.25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56,190.25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56,190.25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48,290.25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48,290.25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48,290.25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44,579.00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44,579.00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44,579.00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3,711.25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3,711.25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3,711.25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2121399</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其他城市基础设施配套费安排的支出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车辆通行费安排的支出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2146201</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公路还贷</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2146299</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其他车辆通行费安排的支出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资源勘探工业信息等支出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2159802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制造业</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2320432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政府收费公路专项债券付息支出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部门：石家庄市交通运输局</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588" w:tblpY="39"/>
        <w:tblOverlap w:val="never"/>
        <w:tblW w:w="108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9"/>
        <w:gridCol w:w="838"/>
        <w:gridCol w:w="814"/>
        <w:gridCol w:w="946"/>
        <w:gridCol w:w="519"/>
        <w:gridCol w:w="544"/>
        <w:gridCol w:w="777"/>
        <w:gridCol w:w="845"/>
        <w:gridCol w:w="5"/>
        <w:gridCol w:w="1133"/>
        <w:gridCol w:w="640"/>
        <w:gridCol w:w="1027"/>
        <w:gridCol w:w="946"/>
        <w:gridCol w:w="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838"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0838"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186"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部门：石家庄市交通运输局</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486"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507"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331"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069"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838"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35"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06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38"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35"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069"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8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735"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069"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281.12</w:t>
            </w:r>
          </w:p>
        </w:tc>
        <w:tc>
          <w:tcPr>
            <w:tcW w:w="83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280.02</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72.24</w:t>
            </w: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207.78</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1.10</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260.99</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260.99</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72.24</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188.75</w:t>
            </w:r>
          </w:p>
        </w:tc>
        <w:tc>
          <w:tcPr>
            <w:tcW w:w="73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0838"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_GB2312" w:hAnsi="宋体" w:eastAsia="仿宋_GB2312"/>
          <w:b/>
          <w:color w:val="auto"/>
          <w:kern w:val="0"/>
          <w:sz w:val="32"/>
          <w:szCs w:val="32"/>
          <w:highlight w:val="none"/>
        </w:rPr>
        <w:br w:type="page"/>
      </w: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pPr>
        <w:rPr>
          <w:rFonts w:ascii="Times New Roman" w:eastAsia="黑体"/>
          <w:b w:val="0"/>
          <w:sz w:val="32"/>
          <w:szCs w:val="32"/>
        </w:rPr>
      </w:pPr>
      <w:r>
        <w:rPr>
          <w:rFonts w:ascii="Times New Roman" w:eastAsia="黑体"/>
          <w:b w:val="0"/>
          <w:sz w:val="32"/>
          <w:szCs w:val="32"/>
        </w:rPr>
        <w:br w:type="page"/>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本部门2024年度收、支总计（含结转和结余）均为1,246,846.75万元。与2023年度决算相比，收支各增加509,462.13万元，增长69.1%，主要原因是</w:t>
      </w:r>
      <w:r>
        <w:rPr>
          <w:rFonts w:hint="eastAsia" w:ascii="Times New Roman" w:eastAsia="仿宋_GB2312"/>
          <w:b w:val="0"/>
          <w:sz w:val="32"/>
          <w:szCs w:val="32"/>
          <w:lang w:eastAsia="zh-CN"/>
        </w:rPr>
        <w:t>：</w:t>
      </w:r>
      <w:bookmarkStart w:id="0" w:name="OLE_LINK2"/>
      <w:r>
        <w:rPr>
          <w:rFonts w:hint="eastAsia" w:ascii="Times New Roman" w:eastAsia="仿宋_GB2312"/>
          <w:b w:val="0"/>
          <w:sz w:val="32"/>
          <w:szCs w:val="32"/>
          <w:lang w:eastAsia="zh-CN"/>
        </w:rPr>
        <w:t>增加石家庄市城区基础设施提升、石家庄市北部片区基础设施提升专项债券项目资金及再融资专项债资金</w:t>
      </w:r>
      <w:r>
        <w:rPr>
          <w:rFonts w:ascii="Times New Roman" w:eastAsia="仿宋_GB2312"/>
          <w:b w:val="0"/>
          <w:sz w:val="32"/>
          <w:szCs w:val="32"/>
        </w:rPr>
        <w:t>。</w:t>
      </w:r>
    </w:p>
    <w:bookmarkEnd w:id="0"/>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1,241,574.16万元，其中：财政拨款收入1,238,938.53万元，占99.8%；上级补助收入0.00万元，占0.0%；事业收入0.00万元，占0.0%；经营收入0.00万元，占0.0%；附属单位上缴收入0.00万元，占0.0%；其他收入2,635.63万元，占0.2%。</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本部门2024年度本年支出合计1,242,997.43万元，其中：基本支出15,368.22万元，占1.2%；项目支出1,227,629.20万元，占98.8%；上缴上级支出0.00万元，占0.0%；经营支出0.00万元，占0.0%；对附属单位补助支出0.00万元，占0.0%。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本部门2024年度财政拨款收、支总计（含结转和结余）均为1,244,211.12万元。与2023年度相比，财政拨款收支各增加506,826.50万元，增长68.7%，主要原因是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本部门2024年度财政拨款本年收入1,238,938.53万元,比上年增加513,255.30万元，增长70.7%，主要原因是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：增加石家庄市城区基础设施提升、石家庄市北部片区基础设施提升专项债券项目资金及再融资专项债资金收入</w:t>
      </w:r>
      <w:r>
        <w:rPr>
          <w:rFonts w:ascii="Times New Roman" w:eastAsia="仿宋_GB2312"/>
          <w:b w:val="0"/>
          <w:sz w:val="32"/>
          <w:szCs w:val="32"/>
        </w:rPr>
        <w:t>；本年支出1,240,361.80万元，比上年增加509,852.03万元，增长69.8%，主要原因是</w:t>
      </w:r>
      <w:r>
        <w:rPr>
          <w:rFonts w:hint="eastAsia" w:ascii="Times New Roman" w:eastAsia="仿宋_GB2312"/>
          <w:b w:val="0"/>
          <w:sz w:val="32"/>
          <w:szCs w:val="32"/>
          <w:lang w:eastAsia="zh-CN"/>
        </w:rPr>
        <w:t>：增加石家庄市城区基础设施提升、石家庄市北部片区基础设施提升工作专项债券项目资金及再融资专项债资金支出</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1.一般公共预算财政拨款本年收入184,843.29万元,比上年增加3,561.91万元，增长2.0%，主要原因是</w:t>
      </w:r>
      <w:r>
        <w:rPr>
          <w:rFonts w:hint="eastAsia" w:ascii="Times New Roman" w:eastAsia="仿宋_GB2312"/>
          <w:b w:val="0"/>
          <w:sz w:val="32"/>
          <w:szCs w:val="32"/>
          <w:lang w:eastAsia="zh-CN"/>
        </w:rPr>
        <w:t>：</w:t>
      </w:r>
      <w:r>
        <w:rPr>
          <w:rFonts w:ascii="仿宋" w:hAnsi="仿宋" w:eastAsia="仿宋"/>
          <w:sz w:val="32"/>
          <w:szCs w:val="32"/>
        </w:rPr>
        <w:t>主要原因是2024年</w:t>
      </w:r>
      <w:r>
        <w:rPr>
          <w:rFonts w:hint="eastAsia" w:ascii="仿宋" w:hAnsi="仿宋" w:eastAsia="仿宋"/>
          <w:sz w:val="32"/>
          <w:szCs w:val="32"/>
          <w:lang w:eastAsia="zh-CN"/>
        </w:rPr>
        <w:t>度</w:t>
      </w:r>
      <w:r>
        <w:rPr>
          <w:rFonts w:ascii="仿宋" w:hAnsi="仿宋" w:eastAsia="仿宋"/>
          <w:sz w:val="32"/>
          <w:szCs w:val="32"/>
        </w:rPr>
        <w:t>下达的上级一般公共预算安排的转移支付的项目资金（中央投资普通干线公路养护工程）</w:t>
      </w:r>
      <w:r>
        <w:rPr>
          <w:rFonts w:hint="eastAsia" w:ascii="仿宋" w:hAnsi="仿宋" w:eastAsia="仿宋"/>
          <w:sz w:val="32"/>
          <w:szCs w:val="32"/>
        </w:rPr>
        <w:t>收入增加</w:t>
      </w:r>
      <w:r>
        <w:rPr>
          <w:rFonts w:ascii="Times New Roman" w:eastAsia="仿宋_GB2312"/>
          <w:b w:val="0"/>
          <w:sz w:val="32"/>
          <w:szCs w:val="32"/>
        </w:rPr>
        <w:t>；本年支出186,266.56万元，比上年增加158.64万元，增长0.1%，主要原因是</w:t>
      </w:r>
      <w:r>
        <w:rPr>
          <w:rFonts w:hint="eastAsia" w:ascii="Times New Roman" w:eastAsia="仿宋_GB2312"/>
          <w:b w:val="0"/>
          <w:sz w:val="32"/>
          <w:szCs w:val="32"/>
          <w:lang w:eastAsia="zh-CN"/>
        </w:rPr>
        <w:t>公路工程项目资金支出增加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2.政府性基金预算财政拨款本年收入1,054,095.23万元，比上年增加509,693.39万元，增长93.6%，主要原因是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增加石家庄市城区基础设施提升、石家庄市北部片区基础设施提升专项债券项目资金及再融资专项债资金收入</w:t>
      </w:r>
      <w:r>
        <w:rPr>
          <w:rFonts w:ascii="Times New Roman" w:eastAsia="仿宋_GB2312"/>
          <w:b w:val="0"/>
          <w:sz w:val="32"/>
          <w:szCs w:val="32"/>
        </w:rPr>
        <w:t>；本年支出1,054,095.23万元，比上年增加509,693.39万元，增长93.6%，主要原因是</w:t>
      </w:r>
      <w:r>
        <w:rPr>
          <w:rFonts w:hint="eastAsia" w:ascii="Times New Roman" w:eastAsia="仿宋_GB2312"/>
          <w:b w:val="0"/>
          <w:sz w:val="32"/>
          <w:szCs w:val="32"/>
          <w:lang w:eastAsia="zh-CN"/>
        </w:rPr>
        <w:t>增加石家庄市城区基础设施提升、石家庄市北部片区基础设施提升工作专项债券项目资金及再融资专项债资金支出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3.国有资本经营预算财政拨款本年收入0.00万元，比上年增加0.00万元，增长0.00%，</w:t>
      </w:r>
      <w:r>
        <w:rPr>
          <w:rFonts w:hint="eastAsia" w:ascii="Times New Roman" w:eastAsia="仿宋_GB2312"/>
          <w:b w:val="0"/>
          <w:sz w:val="32"/>
          <w:szCs w:val="32"/>
          <w:lang w:eastAsia="zh-CN"/>
        </w:rPr>
        <w:t>主要原因是我部门无国有资产经营预算收入</w:t>
      </w:r>
      <w:r>
        <w:rPr>
          <w:rFonts w:ascii="Times New Roman" w:eastAsia="仿宋_GB2312"/>
          <w:b w:val="0"/>
          <w:sz w:val="32"/>
          <w:szCs w:val="32"/>
        </w:rPr>
        <w:t>；本年支出0.00万元，比上年增加0.00万元，增长0.00%，</w:t>
      </w:r>
      <w:r>
        <w:rPr>
          <w:rFonts w:hint="eastAsia" w:ascii="Times New Roman" w:eastAsia="仿宋_GB2312"/>
          <w:b w:val="0"/>
          <w:sz w:val="32"/>
          <w:szCs w:val="32"/>
          <w:lang w:eastAsia="zh-CN"/>
        </w:rPr>
        <w:t>主要原因是我部门无国有资产经营预算支出</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本部门2024年度财政拨款本年收入1,238,938.53万元，完成年初预算的298.2%，比年初预算增加823,528.27万元，决算数大于预算数主要原因是</w:t>
      </w:r>
      <w:bookmarkStart w:id="1" w:name="OLE_LINK1"/>
      <w:r>
        <w:rPr>
          <w:rFonts w:hint="eastAsia" w:ascii="Times New Roman" w:eastAsia="仿宋_GB2312"/>
          <w:b w:val="0"/>
          <w:sz w:val="32"/>
          <w:szCs w:val="32"/>
          <w:lang w:eastAsia="zh-CN"/>
        </w:rPr>
        <w:t>增加石家庄市城区基础设施提升、石家庄市北部片区基础设施提升专项债券项目资金及再融资专项债资金及上级转移支付资金</w:t>
      </w:r>
      <w:bookmarkEnd w:id="1"/>
      <w:r>
        <w:rPr>
          <w:rFonts w:ascii="Times New Roman" w:eastAsia="仿宋_GB2312"/>
          <w:b w:val="0"/>
          <w:sz w:val="32"/>
          <w:szCs w:val="32"/>
        </w:rPr>
        <w:t>。本年支出1,240,361.80万元，完成年初预算的297.2%，比年初预算增加822,995.56万元，决算数大于预算数主要原因是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增加石家庄市城区基础设施提升、石家庄市北部片区基础设施提升专项债券项目资金及再融资专项债资金及上级转移支付资金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96.0%，比年初预算减少7,757.20万元，主要原因是部分工程项目资金存在结转；支出完成年初预算的95.7%，比年初预算减少8,289.91万元，主要原因是主要原因是部分工程项目资金存在结转。</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2.政府性基金预算财政拨款本年收入完成年初预算的473.1%，比年初预算增加831,285.46万元，主要原因是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增加石家庄市城区基础设施提升、石家庄市北部片区基础设施提升专项债券项目资金及再融资专项债资金收入</w:t>
      </w:r>
      <w:r>
        <w:rPr>
          <w:rFonts w:ascii="Times New Roman" w:eastAsia="仿宋_GB2312"/>
          <w:b w:val="0"/>
          <w:sz w:val="32"/>
          <w:szCs w:val="32"/>
        </w:rPr>
        <w:t>；支出完成年初预算的473.1%，比年初预算增加831,285.46万元，主要原因是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3.国有资本经营预算财政拨款本年收入完成年初预算的0.0%，比年初预算增加0.00万元，</w:t>
      </w:r>
      <w:r>
        <w:rPr>
          <w:rFonts w:ascii="仿宋" w:hAnsi="仿宋" w:eastAsia="仿宋"/>
          <w:sz w:val="32"/>
          <w:szCs w:val="32"/>
        </w:rPr>
        <w:t>主要原因是我</w:t>
      </w:r>
      <w:r>
        <w:rPr>
          <w:rFonts w:hint="eastAsia" w:ascii="仿宋" w:hAnsi="仿宋" w:eastAsia="仿宋"/>
          <w:sz w:val="32"/>
          <w:szCs w:val="32"/>
          <w:lang w:eastAsia="zh-CN"/>
        </w:rPr>
        <w:t>部门</w:t>
      </w:r>
      <w:r>
        <w:rPr>
          <w:rFonts w:ascii="仿宋" w:hAnsi="仿宋" w:eastAsia="仿宋"/>
          <w:sz w:val="32"/>
          <w:szCs w:val="32"/>
        </w:rPr>
        <w:t>无国有资本经营预算</w:t>
      </w:r>
      <w:r>
        <w:rPr>
          <w:rFonts w:hint="eastAsia" w:ascii="仿宋" w:hAnsi="仿宋" w:eastAsia="仿宋"/>
          <w:sz w:val="32"/>
          <w:szCs w:val="32"/>
          <w:lang w:eastAsia="zh-CN"/>
        </w:rPr>
        <w:t>收入</w:t>
      </w:r>
      <w:r>
        <w:rPr>
          <w:rFonts w:ascii="Times New Roman" w:eastAsia="仿宋_GB2312"/>
          <w:b w:val="0"/>
          <w:sz w:val="32"/>
          <w:szCs w:val="32"/>
        </w:rPr>
        <w:t>；支出完成年初预算的0.0%，比年初预算增加0.00万元，</w:t>
      </w:r>
      <w:r>
        <w:rPr>
          <w:rFonts w:ascii="仿宋" w:hAnsi="仿宋" w:eastAsia="仿宋"/>
          <w:sz w:val="32"/>
          <w:szCs w:val="32"/>
        </w:rPr>
        <w:t>主要原因是我</w:t>
      </w:r>
      <w:r>
        <w:rPr>
          <w:rFonts w:hint="eastAsia" w:ascii="仿宋" w:hAnsi="仿宋" w:eastAsia="仿宋"/>
          <w:sz w:val="32"/>
          <w:szCs w:val="32"/>
          <w:lang w:eastAsia="zh-CN"/>
        </w:rPr>
        <w:t>部门</w:t>
      </w:r>
      <w:r>
        <w:rPr>
          <w:rFonts w:ascii="仿宋" w:hAnsi="仿宋" w:eastAsia="仿宋"/>
          <w:sz w:val="32"/>
          <w:szCs w:val="32"/>
        </w:rPr>
        <w:t>无国有资本经营预算</w:t>
      </w:r>
      <w:r>
        <w:rPr>
          <w:rFonts w:hint="eastAsia" w:ascii="仿宋" w:hAnsi="仿宋" w:eastAsia="仿宋"/>
          <w:sz w:val="32"/>
          <w:szCs w:val="32"/>
          <w:lang w:eastAsia="zh-CN"/>
        </w:rPr>
        <w:t>支出</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2024年度财政拨款支出1,240,361.80万元，主要用于以下方面：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社会保障和就业（类）支出3,753.55万元，占0.3%，主要用于</w:t>
      </w:r>
      <w:bookmarkStart w:id="2" w:name="OLE_LINK3"/>
      <w:r>
        <w:rPr>
          <w:rFonts w:ascii="仿宋" w:hAnsi="仿宋" w:eastAsia="仿宋"/>
          <w:sz w:val="32"/>
          <w:szCs w:val="32"/>
        </w:rPr>
        <w:t>交纳职工养老保险、失业保险、工伤保险及发放退休人员生活补贴、取暖费</w:t>
      </w:r>
      <w:bookmarkEnd w:id="2"/>
      <w:r>
        <w:rPr>
          <w:rFonts w:ascii="Times New Roman" w:eastAsia="仿宋_GB2312"/>
          <w:b w:val="0"/>
          <w:sz w:val="32"/>
          <w:szCs w:val="32"/>
        </w:rPr>
        <w:t>等支出；卫生健康（类）支出771.12万元，占0.1%，主要用于</w:t>
      </w:r>
      <w:r>
        <w:rPr>
          <w:rFonts w:ascii="仿宋" w:hAnsi="仿宋" w:eastAsia="仿宋"/>
          <w:sz w:val="32"/>
          <w:szCs w:val="32"/>
        </w:rPr>
        <w:t>交纳职工医疗保险</w:t>
      </w:r>
      <w:r>
        <w:rPr>
          <w:rFonts w:ascii="Times New Roman" w:eastAsia="仿宋_GB2312"/>
          <w:b w:val="0"/>
          <w:sz w:val="32"/>
          <w:szCs w:val="32"/>
        </w:rPr>
        <w:t>等支出；城乡社区（类）支出91,702.41万元，占7.4%，主要用于</w:t>
      </w:r>
      <w:r>
        <w:rPr>
          <w:rFonts w:hint="eastAsia" w:ascii="Times New Roman" w:eastAsia="仿宋_GB2312"/>
          <w:b w:val="0"/>
          <w:sz w:val="32"/>
          <w:szCs w:val="32"/>
          <w:lang w:eastAsia="zh-CN"/>
        </w:rPr>
        <w:t>公交运营补贴、三环路道路维护费</w:t>
      </w:r>
      <w:r>
        <w:rPr>
          <w:rFonts w:ascii="Times New Roman" w:eastAsia="仿宋_GB2312"/>
          <w:b w:val="0"/>
          <w:sz w:val="32"/>
          <w:szCs w:val="32"/>
        </w:rPr>
        <w:t>等支出；交通运输（类）支出68,666.01万元，占5.5%，主要用于</w:t>
      </w:r>
      <w:r>
        <w:rPr>
          <w:rFonts w:hint="eastAsia" w:ascii="Times New Roman" w:eastAsia="仿宋_GB2312"/>
          <w:b w:val="0"/>
          <w:sz w:val="32"/>
          <w:szCs w:val="32"/>
          <w:lang w:eastAsia="zh-CN"/>
        </w:rPr>
        <w:t>公路工程项目资金、农村道路客运补贴及城市发展奖励资金、人员类、运转类项目</w:t>
      </w:r>
      <w:r>
        <w:rPr>
          <w:rFonts w:ascii="Times New Roman" w:eastAsia="仿宋_GB2312"/>
          <w:b w:val="0"/>
          <w:sz w:val="32"/>
          <w:szCs w:val="32"/>
        </w:rPr>
        <w:t>等支出；住房保障（类）支出964.74万元，占0.1%，主要用于</w:t>
      </w:r>
      <w:r>
        <w:rPr>
          <w:rFonts w:hint="eastAsia" w:ascii="Times New Roman" w:eastAsia="仿宋_GB2312"/>
          <w:b w:val="0"/>
          <w:sz w:val="32"/>
          <w:szCs w:val="32"/>
          <w:lang w:eastAsia="zh-CN"/>
        </w:rPr>
        <w:t>缴纳职工公积金</w:t>
      </w:r>
      <w:r>
        <w:rPr>
          <w:rFonts w:ascii="Times New Roman" w:eastAsia="仿宋_GB2312"/>
          <w:b w:val="0"/>
          <w:sz w:val="32"/>
          <w:szCs w:val="32"/>
        </w:rPr>
        <w:t>支出；害防治及应急管理（类）支出20,408.73万元，占1.6%，主要用于</w:t>
      </w:r>
      <w:r>
        <w:rPr>
          <w:rFonts w:ascii="仿宋" w:hAnsi="仿宋" w:eastAsia="仿宋"/>
          <w:sz w:val="32"/>
          <w:szCs w:val="32"/>
        </w:rPr>
        <w:t>水毁重建工程工程款</w:t>
      </w:r>
      <w:r>
        <w:rPr>
          <w:rFonts w:hint="eastAsia" w:ascii="仿宋" w:hAnsi="仿宋" w:eastAsia="仿宋"/>
          <w:sz w:val="32"/>
          <w:szCs w:val="32"/>
        </w:rPr>
        <w:t>的</w:t>
      </w:r>
      <w:r>
        <w:rPr>
          <w:rFonts w:ascii="Times New Roman" w:eastAsia="仿宋_GB2312"/>
          <w:b w:val="0"/>
          <w:sz w:val="32"/>
          <w:szCs w:val="32"/>
        </w:rPr>
        <w:t>等支出</w:t>
      </w:r>
      <w:r>
        <w:rPr>
          <w:rFonts w:hint="eastAsia" w:ascii="Times New Roman" w:eastAsia="仿宋_GB2312"/>
          <w:b w:val="0"/>
          <w:sz w:val="32"/>
          <w:szCs w:val="32"/>
          <w:lang w:eastAsia="zh-CN"/>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城乡社区（类）支出56,190.25万元，占4.5%，主要用于</w:t>
      </w:r>
      <w:r>
        <w:rPr>
          <w:rFonts w:hint="eastAsia" w:ascii="Times New Roman" w:eastAsia="仿宋_GB2312"/>
          <w:b w:val="0"/>
          <w:sz w:val="32"/>
          <w:szCs w:val="32"/>
          <w:lang w:eastAsia="zh-CN"/>
        </w:rPr>
        <w:t>北三环、复兴大街市政化改造、公路工程项目</w:t>
      </w:r>
      <w:r>
        <w:rPr>
          <w:rFonts w:ascii="Times New Roman" w:eastAsia="仿宋_GB2312"/>
          <w:b w:val="0"/>
          <w:sz w:val="32"/>
          <w:szCs w:val="32"/>
        </w:rPr>
        <w:t>等支出；交通运输（类）支出352,080.47万元，占28.4%，主要用于</w:t>
      </w:r>
      <w:r>
        <w:rPr>
          <w:rFonts w:hint="eastAsia" w:ascii="Times New Roman" w:eastAsia="仿宋_GB2312"/>
          <w:b w:val="0"/>
          <w:sz w:val="32"/>
          <w:szCs w:val="32"/>
          <w:lang w:eastAsia="zh-CN"/>
        </w:rPr>
        <w:t>政府还贷高速公路运营养护资金、还贷资金</w:t>
      </w:r>
      <w:r>
        <w:rPr>
          <w:rFonts w:ascii="Times New Roman" w:eastAsia="仿宋_GB2312"/>
          <w:b w:val="0"/>
          <w:sz w:val="32"/>
          <w:szCs w:val="32"/>
        </w:rPr>
        <w:t>等支出；资源勘探信息等（类）支出210.15万元，占0.0%，主要用于</w:t>
      </w:r>
      <w:r>
        <w:rPr>
          <w:rFonts w:hint="eastAsia" w:ascii="Times New Roman" w:eastAsia="仿宋_GB2312"/>
          <w:b w:val="0"/>
          <w:sz w:val="32"/>
          <w:szCs w:val="32"/>
          <w:lang w:eastAsia="zh-CN"/>
        </w:rPr>
        <w:t>老旧营运货车更新超长期特别国债资金</w:t>
      </w:r>
      <w:r>
        <w:rPr>
          <w:rFonts w:ascii="Times New Roman" w:eastAsia="仿宋_GB2312"/>
          <w:b w:val="0"/>
          <w:sz w:val="32"/>
          <w:szCs w:val="32"/>
        </w:rPr>
        <w:t>等支出；其他（类）支出632,016.72万元，占51.0%，主要用于</w:t>
      </w:r>
      <w:r>
        <w:rPr>
          <w:rFonts w:hint="eastAsia" w:ascii="Times New Roman" w:eastAsia="仿宋_GB2312"/>
          <w:b w:val="0"/>
          <w:sz w:val="32"/>
          <w:szCs w:val="32"/>
          <w:lang w:eastAsia="zh-CN"/>
        </w:rPr>
        <w:t>石家庄市城区基础社区提升工程、石家庄市北部片区基础设施提升工程专项债券资金</w:t>
      </w:r>
      <w:r>
        <w:rPr>
          <w:rFonts w:ascii="Times New Roman" w:eastAsia="仿宋_GB2312"/>
          <w:b w:val="0"/>
          <w:sz w:val="32"/>
          <w:szCs w:val="32"/>
        </w:rPr>
        <w:t>等支出；债务付息（类）支出13,597.64万元，占1.1%，主要用于</w:t>
      </w:r>
      <w:r>
        <w:rPr>
          <w:rFonts w:hint="eastAsia" w:ascii="Times New Roman" w:eastAsia="仿宋_GB2312"/>
          <w:b w:val="0"/>
          <w:sz w:val="32"/>
          <w:szCs w:val="32"/>
          <w:lang w:eastAsia="zh-CN"/>
        </w:rPr>
        <w:t>专项债券利息、兑付兑息费</w:t>
      </w:r>
      <w:r>
        <w:rPr>
          <w:rFonts w:ascii="Times New Roman" w:eastAsia="仿宋_GB2312"/>
          <w:b w:val="0"/>
          <w:sz w:val="32"/>
          <w:szCs w:val="32"/>
        </w:rPr>
        <w:t>等支出。</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2024年度财政拨款基本支出15,368.22万元，其中：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人员经费14,222.75万元，主要包括基本工资、津贴补贴、奖金、绩效工资、机关事业</w:t>
      </w:r>
      <w:r>
        <w:rPr>
          <w:rFonts w:hint="eastAsia" w:ascii="Times New Roman" w:eastAsia="仿宋_GB2312"/>
          <w:b w:val="0"/>
          <w:sz w:val="32"/>
          <w:szCs w:val="32"/>
          <w:lang w:eastAsia="zh-CN"/>
        </w:rPr>
        <w:t>单位</w:t>
      </w:r>
      <w:r>
        <w:rPr>
          <w:rFonts w:ascii="Times New Roman" w:eastAsia="仿宋_GB2312"/>
          <w:b w:val="0"/>
          <w:sz w:val="32"/>
          <w:szCs w:val="32"/>
        </w:rPr>
        <w:t>基本养老保险缴费、职业年金缴费、职工基本医疗保险缴费、公务员医疗补助缴费、住房公积金</w:t>
      </w:r>
      <w:r>
        <w:rPr>
          <w:rFonts w:hint="eastAsia" w:ascii="Times New Roman" w:eastAsia="仿宋_GB2312"/>
          <w:b w:val="0"/>
          <w:sz w:val="32"/>
          <w:szCs w:val="32"/>
          <w:lang w:eastAsia="zh-CN"/>
        </w:rPr>
        <w:t>、</w:t>
      </w:r>
      <w:r>
        <w:rPr>
          <w:rFonts w:ascii="Times New Roman" w:eastAsia="仿宋_GB2312"/>
          <w:b w:val="0"/>
          <w:sz w:val="32"/>
          <w:szCs w:val="32"/>
        </w:rPr>
        <w:t>其他社会保障缴费、其他工资福利支出、离休费、退休费、抚恤金、生活补助、奖励金、其他对个人和家庭的补助支出。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公用经费1,145.48万元，主要包括办公费、水费、电费、邮电费、取暖费、差旅费、维修（护）费、会议费、培训费、公务接待费、工会经费、福利费、公务用车运行维护费</w:t>
      </w:r>
      <w:r>
        <w:rPr>
          <w:rFonts w:hint="eastAsia" w:ascii="Times New Roman" w:eastAsia="仿宋_GB2312"/>
          <w:b w:val="0"/>
          <w:sz w:val="32"/>
          <w:szCs w:val="32"/>
          <w:lang w:eastAsia="zh-CN"/>
        </w:rPr>
        <w:t>、</w:t>
      </w:r>
      <w:r>
        <w:rPr>
          <w:rFonts w:ascii="Times New Roman" w:eastAsia="仿宋_GB2312"/>
          <w:b w:val="0"/>
          <w:sz w:val="32"/>
          <w:szCs w:val="32"/>
        </w:rPr>
        <w:t>其他商品和服务支出。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line="360" w:lineRule="auto"/>
        <w:ind w:firstLine="640" w:firstLineChars="200"/>
        <w:jc w:val="both"/>
        <w:rPr>
          <w:rFonts w:ascii="仿宋" w:hAnsi="仿宋" w:eastAsia="仿宋"/>
          <w:sz w:val="32"/>
          <w:szCs w:val="32"/>
        </w:rPr>
      </w:pPr>
      <w:r>
        <w:rPr>
          <w:rFonts w:ascii="Times New Roman" w:eastAsia="仿宋_GB2312"/>
          <w:b w:val="0"/>
          <w:sz w:val="32"/>
          <w:szCs w:val="32"/>
        </w:rPr>
        <w:t>本部门2024年度“三公”经费财政拨款支出预算为281.12万元，支出决算为260.99万元，完成预算的92.8%，较预算减少20.13万元，降低7.2%，主要原因是</w:t>
      </w:r>
      <w:r>
        <w:rPr>
          <w:rFonts w:hint="eastAsia" w:ascii="Times New Roman" w:eastAsia="仿宋_GB2312"/>
          <w:b w:val="0"/>
          <w:sz w:val="32"/>
          <w:szCs w:val="32"/>
          <w:lang w:eastAsia="zh-CN"/>
        </w:rPr>
        <w:t>根据财政“过紧日子”要求，压减“三公”经费支出</w:t>
      </w:r>
      <w:r>
        <w:rPr>
          <w:rFonts w:ascii="Times New Roman" w:eastAsia="仿宋_GB2312"/>
          <w:b w:val="0"/>
          <w:sz w:val="32"/>
          <w:szCs w:val="32"/>
        </w:rPr>
        <w:t>；较2023年度决算增加91.35万元，增长53.9%，主要原因是</w:t>
      </w:r>
      <w:r>
        <w:rPr>
          <w:rFonts w:ascii="仿宋" w:hAnsi="仿宋" w:eastAsia="仿宋"/>
          <w:sz w:val="32"/>
          <w:szCs w:val="32"/>
        </w:rPr>
        <w:t>按照市财政局</w:t>
      </w:r>
      <w:r>
        <w:rPr>
          <w:rFonts w:hint="eastAsia" w:ascii="仿宋" w:hAnsi="仿宋" w:eastAsia="仿宋"/>
          <w:sz w:val="32"/>
          <w:szCs w:val="32"/>
          <w:lang w:eastAsia="zh-CN"/>
        </w:rPr>
        <w:t>《关于调剂公务用车购置资金的批复》</w:t>
      </w:r>
      <w:r>
        <w:rPr>
          <w:rFonts w:ascii="仿宋" w:hAnsi="仿宋" w:eastAsia="仿宋"/>
          <w:sz w:val="32"/>
          <w:szCs w:val="32"/>
        </w:rPr>
        <w:t>文件，购置两辆公务用车。</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w:t>
      </w:r>
      <w:r>
        <w:rPr>
          <w:rFonts w:hint="eastAsia" w:ascii="Times New Roman" w:eastAsia="仿宋_GB2312"/>
          <w:b w:val="0"/>
          <w:sz w:val="32"/>
          <w:szCs w:val="32"/>
          <w:lang w:eastAsia="zh-CN"/>
        </w:rPr>
        <w:t>主要原因是</w:t>
      </w:r>
      <w:r>
        <w:rPr>
          <w:rFonts w:ascii="仿宋" w:hAnsi="仿宋" w:eastAsia="仿宋"/>
          <w:sz w:val="32"/>
          <w:szCs w:val="32"/>
        </w:rPr>
        <w:t>我</w:t>
      </w:r>
      <w:r>
        <w:rPr>
          <w:rFonts w:hint="eastAsia" w:ascii="仿宋" w:hAnsi="仿宋" w:eastAsia="仿宋"/>
          <w:sz w:val="32"/>
          <w:szCs w:val="32"/>
          <w:lang w:eastAsia="zh-CN"/>
        </w:rPr>
        <w:t>部门</w:t>
      </w:r>
      <w:r>
        <w:rPr>
          <w:rFonts w:ascii="仿宋" w:hAnsi="仿宋" w:eastAsia="仿宋"/>
          <w:sz w:val="32"/>
          <w:szCs w:val="32"/>
        </w:rPr>
        <w:t>无因公出国（</w:t>
      </w:r>
      <w:r>
        <w:rPr>
          <w:rFonts w:hint="eastAsia" w:ascii="仿宋" w:hAnsi="仿宋" w:eastAsia="仿宋"/>
          <w:sz w:val="32"/>
          <w:szCs w:val="32"/>
        </w:rPr>
        <w:t>境）支出</w:t>
      </w:r>
      <w:r>
        <w:rPr>
          <w:rFonts w:ascii="Times New Roman" w:eastAsia="仿宋_GB2312"/>
          <w:b w:val="0"/>
          <w:sz w:val="32"/>
          <w:szCs w:val="32"/>
        </w:rPr>
        <w:t>；较上年增加0.00万元，增长0.00%,</w:t>
      </w:r>
      <w:r>
        <w:rPr>
          <w:rFonts w:hint="eastAsia" w:ascii="Times New Roman" w:eastAsia="仿宋_GB2312"/>
          <w:b w:val="0"/>
          <w:sz w:val="32"/>
          <w:szCs w:val="32"/>
          <w:lang w:eastAsia="zh-CN"/>
        </w:rPr>
        <w:t>主要原因是</w:t>
      </w:r>
      <w:r>
        <w:rPr>
          <w:rFonts w:ascii="仿宋" w:hAnsi="仿宋" w:eastAsia="仿宋"/>
          <w:sz w:val="32"/>
          <w:szCs w:val="32"/>
        </w:rPr>
        <w:t>我</w:t>
      </w:r>
      <w:r>
        <w:rPr>
          <w:rFonts w:hint="eastAsia" w:ascii="仿宋" w:hAnsi="仿宋" w:eastAsia="仿宋"/>
          <w:sz w:val="32"/>
          <w:szCs w:val="32"/>
          <w:lang w:eastAsia="zh-CN"/>
        </w:rPr>
        <w:t>部门</w:t>
      </w:r>
      <w:r>
        <w:rPr>
          <w:rFonts w:ascii="仿宋" w:hAnsi="仿宋" w:eastAsia="仿宋"/>
          <w:sz w:val="32"/>
          <w:szCs w:val="32"/>
        </w:rPr>
        <w:t>无因公出国（</w:t>
      </w:r>
      <w:r>
        <w:rPr>
          <w:rFonts w:hint="eastAsia" w:ascii="仿宋" w:hAnsi="仿宋" w:eastAsia="仿宋"/>
          <w:sz w:val="32"/>
          <w:szCs w:val="32"/>
        </w:rPr>
        <w:t>境）支出</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w:t>
      </w:r>
      <w:r>
        <w:rPr>
          <w:rFonts w:hint="eastAsia" w:ascii="Times New Roman" w:eastAsia="仿宋_GB2312"/>
          <w:b w:val="0"/>
          <w:sz w:val="32"/>
          <w:szCs w:val="32"/>
          <w:lang w:eastAsia="zh-CN"/>
        </w:rPr>
        <w:t>，</w:t>
      </w:r>
      <w:r>
        <w:rPr>
          <w:rFonts w:ascii="Times New Roman" w:eastAsia="仿宋_GB2312"/>
          <w:b w:val="0"/>
          <w:sz w:val="32"/>
          <w:szCs w:val="32"/>
        </w:rPr>
        <w:t>无本部门组织的出国（境）团组。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本部门2024年度公务用车购置及运行维护费预算为280.02万元，支出决算260.99万元，完成预算的93.2%,较预算减少19.03万元，降低6.8%,主要原因是</w:t>
      </w:r>
      <w:r>
        <w:rPr>
          <w:rFonts w:hint="eastAsia" w:ascii="Times New Roman" w:eastAsia="仿宋_GB2312"/>
          <w:b w:val="0"/>
          <w:sz w:val="32"/>
          <w:szCs w:val="32"/>
          <w:lang w:eastAsia="zh-CN"/>
        </w:rPr>
        <w:t>部分车辆退租，公车租赁费减少</w:t>
      </w:r>
      <w:r>
        <w:rPr>
          <w:rFonts w:ascii="Times New Roman" w:eastAsia="仿宋_GB2312"/>
          <w:b w:val="0"/>
          <w:sz w:val="32"/>
          <w:szCs w:val="32"/>
        </w:rPr>
        <w:t>；较上年增加91.35万元，增长53.9%,主要原因是</w:t>
      </w:r>
      <w:r>
        <w:rPr>
          <w:rFonts w:ascii="仿宋" w:hAnsi="仿宋" w:eastAsia="仿宋"/>
          <w:sz w:val="32"/>
          <w:szCs w:val="32"/>
        </w:rPr>
        <w:t>按照市财政局</w:t>
      </w:r>
      <w:r>
        <w:rPr>
          <w:rFonts w:hint="eastAsia" w:ascii="仿宋" w:hAnsi="仿宋" w:eastAsia="仿宋"/>
          <w:sz w:val="32"/>
          <w:szCs w:val="32"/>
          <w:lang w:eastAsia="zh-CN"/>
        </w:rPr>
        <w:t>《关于调剂公务用车购置资金的批复》</w:t>
      </w:r>
      <w:r>
        <w:rPr>
          <w:rFonts w:ascii="仿宋" w:hAnsi="仿宋" w:eastAsia="仿宋"/>
          <w:sz w:val="32"/>
          <w:szCs w:val="32"/>
        </w:rPr>
        <w:t>文件，购置两辆公务用车</w:t>
      </w:r>
      <w:r>
        <w:rPr>
          <w:rFonts w:ascii="Times New Roman" w:eastAsia="仿宋_GB2312"/>
          <w:b w:val="0"/>
          <w:sz w:val="32"/>
          <w:szCs w:val="32"/>
        </w:rPr>
        <w:t>。其中：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公务用车购置费支出72.24万元：</w:t>
      </w:r>
      <w:r>
        <w:rPr>
          <w:rFonts w:ascii="Times New Roman" w:eastAsia="仿宋_GB2312"/>
          <w:b w:val="0"/>
          <w:sz w:val="32"/>
          <w:szCs w:val="32"/>
        </w:rPr>
        <w:t>本部门2024年度公务用车购置量7辆，发生“公务用车购置”经费支出72.24万元。公务用车购置费支出较预算增加0.00万元，增长0.0%,主要原因是</w:t>
      </w:r>
      <w:r>
        <w:rPr>
          <w:rFonts w:hint="eastAsia" w:ascii="仿宋" w:hAnsi="仿宋" w:eastAsia="仿宋"/>
          <w:sz w:val="32"/>
          <w:szCs w:val="32"/>
        </w:rPr>
        <w:t>本年按预算批复完成了公务用车购置</w:t>
      </w:r>
      <w:r>
        <w:rPr>
          <w:rFonts w:ascii="Times New Roman" w:eastAsia="仿宋_GB2312"/>
          <w:b w:val="0"/>
          <w:sz w:val="32"/>
          <w:szCs w:val="32"/>
        </w:rPr>
        <w:t>；较上年增加59.16万元，增长452.3%,主要原因是</w:t>
      </w:r>
      <w:r>
        <w:rPr>
          <w:rFonts w:ascii="仿宋" w:hAnsi="仿宋" w:eastAsia="仿宋"/>
          <w:sz w:val="32"/>
          <w:szCs w:val="32"/>
        </w:rPr>
        <w:t>按照市财政局</w:t>
      </w:r>
      <w:r>
        <w:rPr>
          <w:rFonts w:hint="eastAsia" w:ascii="仿宋" w:hAnsi="仿宋" w:eastAsia="仿宋"/>
          <w:sz w:val="32"/>
          <w:szCs w:val="32"/>
          <w:lang w:eastAsia="zh-CN"/>
        </w:rPr>
        <w:t>《关于调剂公务用车购置资金的批复》</w:t>
      </w:r>
      <w:r>
        <w:rPr>
          <w:rFonts w:ascii="仿宋" w:hAnsi="仿宋" w:eastAsia="仿宋"/>
          <w:sz w:val="32"/>
          <w:szCs w:val="32"/>
        </w:rPr>
        <w:t>文件，购置两辆公务用车</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公务用车运行维护费支出188.75万元：</w:t>
      </w:r>
      <w:r>
        <w:rPr>
          <w:rFonts w:ascii="Times New Roman" w:eastAsia="仿宋_GB2312"/>
          <w:b w:val="0"/>
          <w:sz w:val="32"/>
          <w:szCs w:val="32"/>
        </w:rPr>
        <w:t>本部门2024年度单位公务用车保有量79辆，发生运行维护费支出188.75万元。公车运行维护费支出较预算减少19.03万元，降低9.2%,主要原因是</w:t>
      </w:r>
      <w:r>
        <w:rPr>
          <w:rFonts w:hint="eastAsia" w:ascii="Times New Roman" w:eastAsia="仿宋_GB2312"/>
          <w:b w:val="0"/>
          <w:sz w:val="32"/>
          <w:szCs w:val="32"/>
          <w:lang w:eastAsia="zh-CN"/>
        </w:rPr>
        <w:t>根据财政“过紧日子”要求，压减公车运行开支</w:t>
      </w:r>
      <w:r>
        <w:rPr>
          <w:rFonts w:ascii="Times New Roman" w:eastAsia="仿宋_GB2312"/>
          <w:b w:val="0"/>
          <w:sz w:val="32"/>
          <w:szCs w:val="32"/>
        </w:rPr>
        <w:t>；较上年增加32.19万元，增长20.6%，主要原因是</w:t>
      </w:r>
      <w:r>
        <w:rPr>
          <w:rFonts w:ascii="仿宋" w:hAnsi="仿宋" w:eastAsia="仿宋"/>
          <w:sz w:val="32"/>
          <w:szCs w:val="32"/>
        </w:rPr>
        <w:t>按照市财政局</w:t>
      </w:r>
      <w:r>
        <w:rPr>
          <w:rFonts w:hint="eastAsia" w:ascii="仿宋" w:hAnsi="仿宋" w:eastAsia="仿宋"/>
          <w:sz w:val="32"/>
          <w:szCs w:val="32"/>
          <w:lang w:eastAsia="zh-CN"/>
        </w:rPr>
        <w:t>《关于调剂公务用车购置资金的批复》</w:t>
      </w:r>
      <w:r>
        <w:rPr>
          <w:rFonts w:ascii="仿宋" w:hAnsi="仿宋" w:eastAsia="仿宋"/>
          <w:sz w:val="32"/>
          <w:szCs w:val="32"/>
        </w:rPr>
        <w:t>文件，购置两辆公务用车</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本部门2024年度公务接待费支出预算为1.10万元，支出决算0.00万元，完成预算的0.0%。公务接待费支出较预算减少1.10万元，降低100.0%,主要原因是</w:t>
      </w:r>
      <w:r>
        <w:rPr>
          <w:rFonts w:hint="eastAsia" w:ascii="Times New Roman" w:eastAsia="仿宋_GB2312"/>
          <w:b w:val="0"/>
          <w:sz w:val="32"/>
          <w:szCs w:val="32"/>
          <w:lang w:val="en-US" w:eastAsia="zh-CN"/>
        </w:rPr>
        <w:t>2024年部门未发生接待费支出</w:t>
      </w:r>
      <w:r>
        <w:rPr>
          <w:rFonts w:ascii="Times New Roman" w:eastAsia="仿宋_GB2312"/>
          <w:b w:val="0"/>
          <w:sz w:val="32"/>
          <w:szCs w:val="32"/>
        </w:rPr>
        <w:t>；较上年度增加0.00万元，增长0.00%,主要原因是</w:t>
      </w:r>
      <w:r>
        <w:rPr>
          <w:rFonts w:hint="eastAsia" w:ascii="Times New Roman" w:eastAsia="仿宋_GB2312"/>
          <w:b w:val="0"/>
          <w:sz w:val="32"/>
          <w:szCs w:val="32"/>
          <w:lang w:val="en-US" w:eastAsia="zh-CN"/>
        </w:rPr>
        <w:t>2024年部门未发生接待费支出</w:t>
      </w:r>
      <w:r>
        <w:rPr>
          <w:rFonts w:ascii="Times New Roman" w:eastAsia="仿宋_GB2312"/>
          <w:b w:val="0"/>
          <w:sz w:val="32"/>
          <w:szCs w:val="32"/>
        </w:rPr>
        <w:t>。本年度共发生公务接待0批次、0人次。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本部门2024年度机关运行经费支出236.27万元，较2023年度增加5.79万元，增长2.5%。主要原因是</w:t>
      </w:r>
      <w:r>
        <w:rPr>
          <w:rFonts w:hint="eastAsia" w:ascii="Times New Roman" w:eastAsia="仿宋_GB2312"/>
          <w:b w:val="0"/>
          <w:sz w:val="32"/>
          <w:szCs w:val="32"/>
          <w:lang w:eastAsia="zh-CN"/>
        </w:rPr>
        <w:t>人员增加，机关运行经费支出增加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118,522.15万元，从采购类型来看，政府采购货物支出238.87万元、政府采购工程支出97,012.49万元、政府采购服务支出21,270.79万元。授予中小企业合同金额78,931.17万元，占政府采购支出总额的66.6%，其中授予小微企业合同金额26,101.82万元，占政府采购支出总额的22.0%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截至2024年12月31日，本部门共有车辆86辆，比上年减少6辆，主要是</w:t>
      </w:r>
      <w:r>
        <w:rPr>
          <w:rFonts w:hint="eastAsia" w:ascii="Times New Roman" w:eastAsia="仿宋_GB2312"/>
          <w:b w:val="0"/>
          <w:sz w:val="32"/>
          <w:szCs w:val="32"/>
          <w:lang w:eastAsia="zh-CN"/>
        </w:rPr>
        <w:t>部分租赁公务用车按要求退租</w:t>
      </w:r>
      <w:r>
        <w:rPr>
          <w:rFonts w:ascii="Times New Roman" w:eastAsia="仿宋_GB2312"/>
          <w:b w:val="0"/>
          <w:sz w:val="32"/>
          <w:szCs w:val="32"/>
        </w:rPr>
        <w:t>。其中，副部（省）级及以上领导用车0辆，主要负责人用车0辆，机要通信用车3辆，应急保障用车8辆，执法执勤用车50辆，特种专业技术用车0辆，离退休干部用车3辆，其他用车22辆，其他用车主要是</w:t>
      </w:r>
      <w:r>
        <w:rPr>
          <w:rFonts w:hint="eastAsia" w:ascii="Times New Roman" w:eastAsia="仿宋_GB2312"/>
          <w:b w:val="0"/>
          <w:sz w:val="32"/>
          <w:szCs w:val="32"/>
          <w:lang w:eastAsia="zh-CN"/>
        </w:rPr>
        <w:t>业务用车</w:t>
      </w:r>
      <w:r>
        <w:rPr>
          <w:rFonts w:ascii="Times New Roman" w:eastAsia="仿宋_GB2312"/>
          <w:b w:val="0"/>
          <w:sz w:val="32"/>
          <w:szCs w:val="32"/>
        </w:rPr>
        <w:t>。单位价值100万元（含）以上设备（不含车辆）3台（套）。</w:t>
      </w:r>
    </w:p>
    <w:p>
      <w:pPr>
        <w:widowControl/>
        <w:spacing w:before="0" w:beforeLines="0" w:beforeAutospacing="0" w:after="0" w:afterLines="0" w:afterAutospacing="0" w:line="360" w:lineRule="auto"/>
        <w:ind w:firstLine="640" w:firstLineChars="200"/>
        <w:jc w:val="left"/>
        <w:outlineLvl w:val="1"/>
        <w:rPr>
          <w:rFonts w:ascii="Times New Roman" w:eastAsia="黑体"/>
          <w:color w:val="auto"/>
          <w:sz w:val="32"/>
          <w:szCs w:val="32"/>
        </w:rPr>
      </w:pPr>
      <w:r>
        <w:rPr>
          <w:rFonts w:ascii="Times New Roman" w:eastAsia="黑体"/>
          <w:b w:val="0"/>
          <w:color w:val="auto"/>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color w:val="auto"/>
          <w:sz w:val="32"/>
          <w:szCs w:val="32"/>
        </w:rPr>
      </w:pPr>
      <w:r>
        <w:rPr>
          <w:rFonts w:ascii="Times New Roman" w:eastAsia="仿宋_GB2312"/>
          <w:b/>
          <w:color w:val="auto"/>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color w:val="auto"/>
          <w:sz w:val="32"/>
          <w:szCs w:val="32"/>
        </w:rPr>
      </w:pPr>
      <w:r>
        <w:rPr>
          <w:rFonts w:ascii="Times New Roman" w:eastAsia="仿宋_GB2312"/>
          <w:b w:val="0"/>
          <w:color w:val="auto"/>
          <w:sz w:val="32"/>
          <w:szCs w:val="32"/>
        </w:rPr>
        <w:t>根据预算绩效管理要求，本部门组织对2024年度本级预算项目支出全面开展绩效自评，共涉及资金</w:t>
      </w:r>
      <w:r>
        <w:rPr>
          <w:rFonts w:hint="eastAsia" w:ascii="Times New Roman" w:eastAsia="仿宋_GB2312"/>
          <w:b w:val="0"/>
          <w:color w:val="auto"/>
          <w:sz w:val="32"/>
          <w:szCs w:val="32"/>
          <w:lang w:val="en-US" w:eastAsia="zh-CN"/>
        </w:rPr>
        <w:t>1227629.2</w:t>
      </w:r>
      <w:r>
        <w:rPr>
          <w:rFonts w:ascii="Times New Roman" w:eastAsia="仿宋_GB2312"/>
          <w:b w:val="0"/>
          <w:color w:val="auto"/>
          <w:sz w:val="32"/>
          <w:szCs w:val="32"/>
        </w:rPr>
        <w:t>万元。其中，一般公共预算项目</w:t>
      </w:r>
      <w:r>
        <w:rPr>
          <w:rFonts w:hint="eastAsia" w:ascii="Times New Roman" w:eastAsia="仿宋_GB2312"/>
          <w:b w:val="0"/>
          <w:color w:val="auto"/>
          <w:sz w:val="32"/>
          <w:szCs w:val="32"/>
          <w:lang w:val="en-US" w:eastAsia="zh-CN"/>
        </w:rPr>
        <w:t>135</w:t>
      </w:r>
      <w:r>
        <w:rPr>
          <w:rFonts w:ascii="Times New Roman" w:eastAsia="仿宋_GB2312"/>
          <w:b w:val="0"/>
          <w:color w:val="auto"/>
          <w:sz w:val="32"/>
          <w:szCs w:val="32"/>
        </w:rPr>
        <w:t>个，涉及资金</w:t>
      </w:r>
      <w:r>
        <w:rPr>
          <w:rFonts w:hint="eastAsia" w:ascii="Times New Roman" w:eastAsia="仿宋_GB2312"/>
          <w:b w:val="0"/>
          <w:color w:val="auto"/>
          <w:sz w:val="32"/>
          <w:szCs w:val="32"/>
          <w:lang w:val="en-US" w:eastAsia="zh-CN"/>
        </w:rPr>
        <w:t>170898.34</w:t>
      </w:r>
      <w:r>
        <w:rPr>
          <w:rFonts w:ascii="Times New Roman" w:eastAsia="仿宋_GB2312"/>
          <w:b w:val="0"/>
          <w:color w:val="auto"/>
          <w:sz w:val="32"/>
          <w:szCs w:val="32"/>
        </w:rPr>
        <w:t>万元，占一般公共预算项目支出总额的</w:t>
      </w:r>
      <w:r>
        <w:rPr>
          <w:rFonts w:hint="eastAsia" w:ascii="Times New Roman" w:eastAsia="仿宋_GB2312"/>
          <w:b w:val="0"/>
          <w:color w:val="auto"/>
          <w:sz w:val="32"/>
          <w:szCs w:val="32"/>
          <w:lang w:val="en-US" w:eastAsia="zh-CN"/>
        </w:rPr>
        <w:t>100</w:t>
      </w:r>
      <w:r>
        <w:rPr>
          <w:rFonts w:ascii="Times New Roman" w:eastAsia="仿宋_GB2312"/>
          <w:b w:val="0"/>
          <w:color w:val="auto"/>
          <w:sz w:val="32"/>
          <w:szCs w:val="32"/>
        </w:rPr>
        <w:t>%；政府性基金预算项目</w:t>
      </w:r>
      <w:r>
        <w:rPr>
          <w:rFonts w:hint="eastAsia" w:ascii="Times New Roman" w:eastAsia="仿宋_GB2312"/>
          <w:b w:val="0"/>
          <w:color w:val="auto"/>
          <w:sz w:val="32"/>
          <w:szCs w:val="32"/>
          <w:lang w:val="en-US" w:eastAsia="zh-CN"/>
        </w:rPr>
        <w:t>29</w:t>
      </w:r>
      <w:r>
        <w:rPr>
          <w:rFonts w:ascii="Times New Roman" w:eastAsia="仿宋_GB2312"/>
          <w:b w:val="0"/>
          <w:color w:val="auto"/>
          <w:sz w:val="32"/>
          <w:szCs w:val="32"/>
        </w:rPr>
        <w:t>个，涉及资金</w:t>
      </w:r>
      <w:r>
        <w:rPr>
          <w:rFonts w:hint="eastAsia" w:ascii="Times New Roman" w:eastAsia="仿宋_GB2312"/>
          <w:b w:val="0"/>
          <w:color w:val="auto"/>
          <w:sz w:val="32"/>
          <w:szCs w:val="32"/>
          <w:lang w:val="en-US" w:eastAsia="zh-CN"/>
        </w:rPr>
        <w:t>1054095.23</w:t>
      </w:r>
      <w:r>
        <w:rPr>
          <w:rFonts w:ascii="Times New Roman" w:eastAsia="仿宋_GB2312"/>
          <w:b w:val="0"/>
          <w:color w:val="auto"/>
          <w:sz w:val="32"/>
          <w:szCs w:val="32"/>
        </w:rPr>
        <w:t>万元，占政府性基金预算项目支出总额的</w:t>
      </w:r>
      <w:r>
        <w:rPr>
          <w:rFonts w:hint="eastAsia" w:ascii="Times New Roman" w:eastAsia="仿宋_GB2312"/>
          <w:b w:val="0"/>
          <w:color w:val="auto"/>
          <w:sz w:val="32"/>
          <w:szCs w:val="32"/>
          <w:lang w:val="en-US" w:eastAsia="zh-CN"/>
        </w:rPr>
        <w:t>100</w:t>
      </w:r>
      <w:r>
        <w:rPr>
          <w:rFonts w:ascii="Times New Roman" w:eastAsia="仿宋_GB2312"/>
          <w:b w:val="0"/>
          <w:color w:val="auto"/>
          <w:sz w:val="32"/>
          <w:szCs w:val="32"/>
        </w:rPr>
        <w:t>%</w:t>
      </w:r>
      <w:r>
        <w:rPr>
          <w:rFonts w:hint="eastAsia" w:ascii="Times New Roman" w:eastAsia="仿宋_GB2312"/>
          <w:b w:val="0"/>
          <w:color w:val="auto"/>
          <w:sz w:val="32"/>
          <w:szCs w:val="32"/>
          <w:lang w:eastAsia="zh-CN"/>
        </w:rPr>
        <w:t>；</w:t>
      </w:r>
      <w:r>
        <w:rPr>
          <w:rFonts w:ascii="Times New Roman" w:eastAsia="仿宋_GB2312"/>
          <w:b w:val="0"/>
          <w:color w:val="auto"/>
          <w:sz w:val="32"/>
          <w:szCs w:val="32"/>
        </w:rPr>
        <w:t>国有资本经营预算项目</w:t>
      </w:r>
      <w:r>
        <w:rPr>
          <w:rFonts w:hint="eastAsia" w:ascii="Times New Roman" w:eastAsia="仿宋_GB2312"/>
          <w:b w:val="0"/>
          <w:color w:val="auto"/>
          <w:sz w:val="32"/>
          <w:szCs w:val="32"/>
          <w:lang w:val="en-US" w:eastAsia="zh-CN"/>
        </w:rPr>
        <w:t>0</w:t>
      </w:r>
      <w:r>
        <w:rPr>
          <w:rFonts w:ascii="Times New Roman" w:eastAsia="仿宋_GB2312"/>
          <w:b w:val="0"/>
          <w:color w:val="auto"/>
          <w:sz w:val="32"/>
          <w:szCs w:val="32"/>
        </w:rPr>
        <w:t>个，涉及资金</w:t>
      </w:r>
      <w:r>
        <w:rPr>
          <w:rFonts w:hint="eastAsia" w:ascii="Times New Roman" w:eastAsia="仿宋_GB2312"/>
          <w:b w:val="0"/>
          <w:color w:val="auto"/>
          <w:sz w:val="32"/>
          <w:szCs w:val="32"/>
          <w:lang w:val="en-US" w:eastAsia="zh-CN"/>
        </w:rPr>
        <w:t>0.00</w:t>
      </w:r>
      <w:r>
        <w:rPr>
          <w:rFonts w:ascii="Times New Roman" w:eastAsia="仿宋_GB2312"/>
          <w:b w:val="0"/>
          <w:color w:val="auto"/>
          <w:sz w:val="32"/>
          <w:szCs w:val="32"/>
        </w:rPr>
        <w:t>万元，占国有资本经营预算项目支出总额的</w:t>
      </w:r>
      <w:r>
        <w:rPr>
          <w:rFonts w:hint="eastAsia" w:ascii="Times New Roman" w:eastAsia="仿宋_GB2312"/>
          <w:b w:val="0"/>
          <w:color w:val="auto"/>
          <w:sz w:val="32"/>
          <w:szCs w:val="32"/>
          <w:lang w:val="en-US" w:eastAsia="zh-CN"/>
        </w:rPr>
        <w:t>0.0</w:t>
      </w:r>
      <w:r>
        <w:rPr>
          <w:rFonts w:ascii="Times New Roman" w:eastAsia="仿宋_GB2312"/>
          <w:b w:val="0"/>
          <w:color w:val="auto"/>
          <w:sz w:val="32"/>
          <w:szCs w:val="32"/>
        </w:rPr>
        <w:t>%</w:t>
      </w:r>
      <w:r>
        <w:rPr>
          <w:rFonts w:hint="eastAsia" w:ascii="Times New Roman" w:eastAsia="仿宋_GB2312"/>
          <w:b w:val="0"/>
          <w:color w:val="auto"/>
          <w:sz w:val="32"/>
          <w:szCs w:val="32"/>
          <w:lang w:eastAsia="zh-CN"/>
        </w:rPr>
        <w:t>，其他收入资金项目</w:t>
      </w:r>
      <w:r>
        <w:rPr>
          <w:rFonts w:hint="eastAsia" w:ascii="Times New Roman" w:eastAsia="仿宋_GB2312"/>
          <w:b w:val="0"/>
          <w:color w:val="auto"/>
          <w:sz w:val="32"/>
          <w:szCs w:val="32"/>
          <w:lang w:val="en-US" w:eastAsia="zh-CN"/>
        </w:rPr>
        <w:t>2个，涉及资金2635.63万元</w:t>
      </w:r>
      <w:r>
        <w:rPr>
          <w:rFonts w:ascii="Times New Roman" w:eastAsia="仿宋_GB2312"/>
          <w:b w:val="0"/>
          <w:color w:val="auto"/>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cs="宋体"/>
          <w:b w:val="0"/>
          <w:color w:val="auto"/>
          <w:sz w:val="32"/>
          <w:szCs w:val="32"/>
        </w:rPr>
      </w:pPr>
      <w:r>
        <w:rPr>
          <w:rFonts w:ascii="Times New Roman" w:eastAsia="仿宋_GB2312" w:cs="宋体"/>
          <w:b w:val="0"/>
          <w:color w:val="auto"/>
          <w:sz w:val="32"/>
          <w:szCs w:val="32"/>
        </w:rPr>
        <w:t>组织对</w:t>
      </w:r>
      <w:r>
        <w:rPr>
          <w:rFonts w:hint="eastAsia" w:ascii="Times New Roman" w:eastAsia="仿宋_GB2312" w:cs="宋体"/>
          <w:b w:val="0"/>
          <w:color w:val="auto"/>
          <w:sz w:val="32"/>
          <w:szCs w:val="32"/>
          <w:lang w:eastAsia="zh-CN"/>
        </w:rPr>
        <w:t>冷链物流城市集配中心项目</w:t>
      </w:r>
      <w:r>
        <w:rPr>
          <w:rFonts w:ascii="Times New Roman" w:eastAsia="仿宋_GB2312" w:cs="宋体"/>
          <w:b w:val="0"/>
          <w:color w:val="auto"/>
          <w:sz w:val="32"/>
          <w:szCs w:val="32"/>
        </w:rPr>
        <w:t>等</w:t>
      </w:r>
      <w:r>
        <w:rPr>
          <w:rFonts w:hint="eastAsia" w:ascii="Times New Roman" w:eastAsia="仿宋_GB2312" w:cs="宋体"/>
          <w:b w:val="0"/>
          <w:color w:val="auto"/>
          <w:sz w:val="32"/>
          <w:szCs w:val="32"/>
          <w:lang w:val="en-US" w:eastAsia="zh-CN"/>
        </w:rPr>
        <w:t>35</w:t>
      </w:r>
      <w:r>
        <w:rPr>
          <w:rFonts w:ascii="Times New Roman" w:eastAsia="仿宋_GB2312" w:cs="宋体"/>
          <w:b w:val="0"/>
          <w:color w:val="auto"/>
          <w:sz w:val="32"/>
          <w:szCs w:val="32"/>
        </w:rPr>
        <w:t>个项目开展了重点评价，涉及一般公共预算支出</w:t>
      </w:r>
      <w:r>
        <w:rPr>
          <w:rFonts w:hint="eastAsia" w:ascii="Times New Roman" w:eastAsia="仿宋_GB2312" w:cs="宋体"/>
          <w:b w:val="0"/>
          <w:color w:val="auto"/>
          <w:sz w:val="32"/>
          <w:szCs w:val="32"/>
          <w:lang w:val="en-US" w:eastAsia="zh-CN"/>
        </w:rPr>
        <w:t>68118.33</w:t>
      </w:r>
      <w:r>
        <w:rPr>
          <w:rFonts w:ascii="Times New Roman" w:eastAsia="仿宋_GB2312" w:cs="宋体"/>
          <w:b w:val="0"/>
          <w:color w:val="auto"/>
          <w:sz w:val="32"/>
          <w:szCs w:val="32"/>
        </w:rPr>
        <w:t>万元，政府性基金预算支出</w:t>
      </w:r>
      <w:r>
        <w:rPr>
          <w:rFonts w:hint="eastAsia" w:ascii="Times New Roman" w:eastAsia="仿宋_GB2312" w:cs="宋体"/>
          <w:b w:val="0"/>
          <w:color w:val="auto"/>
          <w:sz w:val="32"/>
          <w:szCs w:val="32"/>
          <w:lang w:val="en-US" w:eastAsia="zh-CN"/>
        </w:rPr>
        <w:t>285534.60</w:t>
      </w:r>
      <w:r>
        <w:rPr>
          <w:rFonts w:ascii="Times New Roman" w:eastAsia="仿宋_GB2312" w:cs="宋体"/>
          <w:b w:val="0"/>
          <w:color w:val="auto"/>
          <w:sz w:val="32"/>
          <w:szCs w:val="32"/>
        </w:rPr>
        <w:t>万元，</w:t>
      </w:r>
      <w:r>
        <w:rPr>
          <w:rFonts w:hint="eastAsia" w:ascii="Times New Roman" w:eastAsia="仿宋_GB2312" w:cs="宋体"/>
          <w:b w:val="0"/>
          <w:color w:val="auto"/>
          <w:sz w:val="32"/>
          <w:szCs w:val="32"/>
          <w:lang w:eastAsia="zh-CN"/>
        </w:rPr>
        <w:t>其他收入预算项目支出</w:t>
      </w:r>
      <w:r>
        <w:rPr>
          <w:rFonts w:hint="eastAsia" w:ascii="Times New Roman" w:eastAsia="仿宋_GB2312" w:cs="宋体"/>
          <w:b w:val="0"/>
          <w:color w:val="auto"/>
          <w:sz w:val="32"/>
          <w:szCs w:val="32"/>
          <w:lang w:val="en-US" w:eastAsia="zh-CN"/>
        </w:rPr>
        <w:t>2635.63</w:t>
      </w:r>
      <w:r>
        <w:rPr>
          <w:rFonts w:ascii="Times New Roman" w:eastAsia="仿宋_GB2312" w:cs="宋体"/>
          <w:b w:val="0"/>
          <w:color w:val="auto"/>
          <w:sz w:val="32"/>
          <w:szCs w:val="32"/>
        </w:rPr>
        <w:t>万元，从评价情况来看，</w:t>
      </w:r>
      <w:r>
        <w:rPr>
          <w:rFonts w:hint="eastAsia" w:ascii="Times New Roman" w:eastAsia="仿宋_GB2312" w:cs="宋体"/>
          <w:b w:val="0"/>
          <w:color w:val="auto"/>
          <w:sz w:val="32"/>
          <w:szCs w:val="32"/>
          <w:lang w:eastAsia="zh-CN"/>
        </w:rPr>
        <w:t>总体情况较好，基本完成年度绩效目标</w:t>
      </w:r>
      <w:r>
        <w:rPr>
          <w:rFonts w:ascii="Times New Roman" w:eastAsia="仿宋_GB2312" w:cs="宋体"/>
          <w:b w:val="0"/>
          <w:color w:val="auto"/>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color w:val="auto"/>
          <w:sz w:val="32"/>
          <w:szCs w:val="32"/>
        </w:rPr>
      </w:pPr>
      <w:r>
        <w:rPr>
          <w:rFonts w:ascii="Times New Roman" w:eastAsia="仿宋_GB2312"/>
          <w:b/>
          <w:color w:val="auto"/>
          <w:sz w:val="32"/>
          <w:szCs w:val="32"/>
        </w:rPr>
        <w:t>（二）部门决算中项目绩效自评结果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color w:val="auto"/>
          <w:sz w:val="32"/>
          <w:szCs w:val="32"/>
        </w:rPr>
      </w:pPr>
      <w:r>
        <w:rPr>
          <w:rFonts w:ascii="Times New Roman" w:eastAsia="仿宋_GB2312"/>
          <w:b w:val="0"/>
          <w:color w:val="auto"/>
          <w:sz w:val="32"/>
          <w:szCs w:val="32"/>
        </w:rPr>
        <w:t>本部门在今年部门决算公开中反映</w:t>
      </w:r>
      <w:r>
        <w:rPr>
          <w:rFonts w:hint="eastAsia" w:ascii="Times New Roman" w:eastAsia="仿宋_GB2312"/>
          <w:b w:val="0"/>
          <w:color w:val="auto"/>
          <w:sz w:val="32"/>
          <w:szCs w:val="32"/>
          <w:lang w:eastAsia="zh-CN"/>
        </w:rPr>
        <w:t>公交运营补贴</w:t>
      </w:r>
      <w:r>
        <w:rPr>
          <w:rFonts w:ascii="Times New Roman" w:eastAsia="仿宋_GB2312"/>
          <w:b w:val="0"/>
          <w:color w:val="auto"/>
          <w:sz w:val="32"/>
          <w:szCs w:val="32"/>
        </w:rPr>
        <w:t>等</w:t>
      </w:r>
      <w:r>
        <w:rPr>
          <w:rFonts w:hint="eastAsia" w:ascii="Times New Roman" w:eastAsia="仿宋_GB2312"/>
          <w:b w:val="0"/>
          <w:color w:val="auto"/>
          <w:sz w:val="32"/>
          <w:szCs w:val="32"/>
          <w:lang w:val="en-US" w:eastAsia="zh-CN"/>
        </w:rPr>
        <w:t>10</w:t>
      </w:r>
      <w:r>
        <w:rPr>
          <w:rFonts w:ascii="Times New Roman" w:eastAsia="仿宋_GB2312"/>
          <w:b w:val="0"/>
          <w:color w:val="auto"/>
          <w:sz w:val="32"/>
          <w:szCs w:val="32"/>
        </w:rPr>
        <w:t>个项目绩效自评结果。</w:t>
      </w:r>
    </w:p>
    <w:p>
      <w:pPr>
        <w:widowControl/>
        <w:numPr>
          <w:ilvl w:val="0"/>
          <w:numId w:val="2"/>
        </w:numPr>
        <w:spacing w:before="0" w:beforeLines="0" w:beforeAutospacing="0" w:after="0" w:afterLines="0" w:afterAutospacing="0" w:line="360" w:lineRule="auto"/>
        <w:ind w:firstLine="640" w:firstLineChars="200"/>
        <w:jc w:val="left"/>
        <w:rPr>
          <w:rFonts w:hint="eastAsia" w:ascii="Times New Roman" w:hAnsi="Times New Roman" w:eastAsia="仿宋_GB2312" w:cs="Times New Roman"/>
          <w:sz w:val="32"/>
          <w:szCs w:val="32"/>
          <w:lang w:val="en-US" w:eastAsia="zh-CN"/>
        </w:rPr>
      </w:pPr>
      <w:r>
        <w:rPr>
          <w:rFonts w:hint="eastAsia" w:ascii="Times New Roman" w:eastAsia="仿宋_GB2312"/>
          <w:b w:val="0"/>
          <w:color w:val="auto"/>
          <w:sz w:val="32"/>
          <w:szCs w:val="32"/>
          <w:lang w:val="en-US" w:eastAsia="zh-CN"/>
        </w:rPr>
        <w:t>公交运营补贴</w:t>
      </w:r>
      <w:r>
        <w:rPr>
          <w:rFonts w:ascii="Times New Roman" w:eastAsia="仿宋_GB2312"/>
          <w:b w:val="0"/>
          <w:color w:val="auto"/>
          <w:sz w:val="32"/>
          <w:szCs w:val="32"/>
        </w:rPr>
        <w:t>项目绩效自评情况：根据年初设定的绩效目标，项目绩效自评得分为</w:t>
      </w:r>
      <w:r>
        <w:rPr>
          <w:rFonts w:hint="eastAsia" w:ascii="Times New Roman" w:eastAsia="仿宋_GB2312"/>
          <w:b w:val="0"/>
          <w:color w:val="auto"/>
          <w:sz w:val="32"/>
          <w:szCs w:val="32"/>
          <w:lang w:val="en-US" w:eastAsia="zh-CN"/>
        </w:rPr>
        <w:t>100</w:t>
      </w:r>
      <w:r>
        <w:rPr>
          <w:rFonts w:ascii="Times New Roman" w:eastAsia="仿宋_GB2312"/>
          <w:b w:val="0"/>
          <w:color w:val="auto"/>
          <w:sz w:val="32"/>
          <w:szCs w:val="32"/>
        </w:rPr>
        <w:t>分（绩效自评表附后）。全年预算数为</w:t>
      </w:r>
      <w:r>
        <w:rPr>
          <w:rFonts w:hint="eastAsia" w:ascii="Times New Roman" w:eastAsia="仿宋_GB2312"/>
          <w:b w:val="0"/>
          <w:color w:val="auto"/>
          <w:sz w:val="32"/>
          <w:szCs w:val="32"/>
          <w:lang w:val="en-US" w:eastAsia="zh-CN"/>
        </w:rPr>
        <w:t>92000</w:t>
      </w:r>
      <w:r>
        <w:rPr>
          <w:rFonts w:ascii="Times New Roman" w:eastAsia="仿宋_GB2312"/>
          <w:b w:val="0"/>
          <w:color w:val="auto"/>
          <w:sz w:val="32"/>
          <w:szCs w:val="32"/>
        </w:rPr>
        <w:t>万元，执行数为</w:t>
      </w:r>
      <w:r>
        <w:rPr>
          <w:rFonts w:hint="eastAsia" w:ascii="Times New Roman" w:eastAsia="仿宋_GB2312"/>
          <w:b w:val="0"/>
          <w:color w:val="auto"/>
          <w:sz w:val="32"/>
          <w:szCs w:val="32"/>
          <w:lang w:val="en-US" w:eastAsia="zh-CN"/>
        </w:rPr>
        <w:t>92000</w:t>
      </w:r>
      <w:r>
        <w:rPr>
          <w:rFonts w:ascii="Times New Roman" w:eastAsia="仿宋_GB2312"/>
          <w:b w:val="0"/>
          <w:color w:val="auto"/>
          <w:sz w:val="32"/>
          <w:szCs w:val="32"/>
        </w:rPr>
        <w:t>万元，完成预算的</w:t>
      </w:r>
      <w:r>
        <w:rPr>
          <w:rFonts w:hint="eastAsia" w:ascii="Times New Roman" w:eastAsia="仿宋_GB2312"/>
          <w:b w:val="0"/>
          <w:color w:val="auto"/>
          <w:sz w:val="32"/>
          <w:szCs w:val="32"/>
          <w:lang w:val="en-US" w:eastAsia="zh-CN"/>
        </w:rPr>
        <w:t>100</w:t>
      </w:r>
      <w:r>
        <w:rPr>
          <w:rFonts w:ascii="Times New Roman" w:eastAsia="仿宋_GB2312"/>
          <w:b w:val="0"/>
          <w:color w:val="auto"/>
          <w:sz w:val="32"/>
          <w:szCs w:val="32"/>
        </w:rPr>
        <w:t>%。项目绩效目标完成情况：一是</w:t>
      </w:r>
      <w:r>
        <w:rPr>
          <w:rFonts w:hint="default" w:ascii="Times New Roman" w:hAnsi="Times New Roman" w:eastAsia="仿宋_GB2312" w:cs="Times New Roman"/>
          <w:color w:val="auto"/>
          <w:sz w:val="32"/>
          <w:szCs w:val="32"/>
          <w:lang w:val="en-US" w:eastAsia="zh-CN"/>
        </w:rPr>
        <w:t>2024年公交运营线路实际达到254条，运客人次完成率和年运营里程完成率都超预期指标值完成，百万公里事故率0.33起/百万公里，百公里燃料消耗也较预期指标值有所提升。</w:t>
      </w:r>
      <w:r>
        <w:rPr>
          <w:rFonts w:hint="eastAsia" w:ascii="Times New Roman" w:hAnsi="Times New Roman" w:eastAsia="仿宋_GB2312" w:cs="Times New Roman"/>
          <w:color w:val="auto"/>
          <w:sz w:val="32"/>
          <w:szCs w:val="32"/>
          <w:lang w:val="en-US" w:eastAsia="zh-CN"/>
        </w:rPr>
        <w:t>二是</w:t>
      </w:r>
      <w:r>
        <w:rPr>
          <w:rFonts w:hint="default" w:ascii="Times New Roman" w:hAnsi="Times New Roman" w:eastAsia="仿宋_GB2312" w:cs="Times New Roman"/>
          <w:color w:val="auto"/>
          <w:sz w:val="32"/>
          <w:szCs w:val="32"/>
          <w:lang w:val="en-US" w:eastAsia="zh-CN"/>
        </w:rPr>
        <w:t>运营补贴保障城市公交正常运营，同时新能源车的广泛使用，有助于节约能耗，减少燃油消费</w:t>
      </w:r>
      <w:r>
        <w:rPr>
          <w:rFonts w:hint="default" w:ascii="Times New Roman" w:hAnsi="Times New Roman" w:eastAsia="仿宋_GB2312" w:cs="Times New Roman"/>
          <w:sz w:val="32"/>
          <w:szCs w:val="32"/>
          <w:lang w:val="en-US" w:eastAsia="zh-CN"/>
        </w:rPr>
        <w:t>，为市民提供低碳、绿色的出行服务。</w:t>
      </w:r>
      <w:r>
        <w:rPr>
          <w:rFonts w:hint="eastAsia" w:ascii="Times New Roman" w:hAnsi="Times New Roman" w:eastAsia="仿宋_GB2312" w:cs="Times New Roman"/>
          <w:sz w:val="32"/>
          <w:szCs w:val="32"/>
          <w:lang w:val="en-US" w:eastAsia="zh-CN"/>
        </w:rPr>
        <w:t>三是</w:t>
      </w:r>
      <w:r>
        <w:rPr>
          <w:rFonts w:hint="default" w:ascii="Times New Roman" w:hAnsi="Times New Roman" w:eastAsia="仿宋_GB2312" w:cs="Times New Roman"/>
          <w:sz w:val="32"/>
          <w:szCs w:val="32"/>
          <w:lang w:val="en-US" w:eastAsia="zh-CN"/>
        </w:rPr>
        <w:t>根据公交集团车厢服务合格率99.83%，完成预期指标值。</w:t>
      </w:r>
      <w:r>
        <w:rPr>
          <w:rFonts w:hint="eastAsia" w:ascii="Times New Roman" w:hAnsi="Times New Roman" w:eastAsia="仿宋_GB2312" w:cs="Times New Roman"/>
          <w:sz w:val="32"/>
          <w:szCs w:val="32"/>
          <w:lang w:val="en-US" w:eastAsia="zh-CN"/>
        </w:rPr>
        <w:t>项目执行中未发现问题。</w:t>
      </w:r>
    </w:p>
    <w:p>
      <w:pPr>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2.12328交通服务监督电话经费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4.77</w:t>
      </w:r>
      <w:r>
        <w:rPr>
          <w:rFonts w:ascii="Times New Roman" w:eastAsia="仿宋_GB2312"/>
          <w:b w:val="0"/>
          <w:sz w:val="32"/>
          <w:szCs w:val="32"/>
        </w:rPr>
        <w:t>万元，执行数为</w:t>
      </w:r>
      <w:r>
        <w:rPr>
          <w:rFonts w:hint="eastAsia" w:ascii="Times New Roman" w:eastAsia="仿宋_GB2312"/>
          <w:b w:val="0"/>
          <w:sz w:val="32"/>
          <w:szCs w:val="32"/>
          <w:lang w:val="en-US" w:eastAsia="zh-CN"/>
        </w:rPr>
        <w:t>4.77</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p>
      <w:pPr>
        <w:widowControl/>
        <w:spacing w:line="360" w:lineRule="auto"/>
        <w:ind w:firstLine="640" w:firstLineChars="200"/>
        <w:jc w:val="both"/>
        <w:rPr>
          <w:rFonts w:ascii="仿宋" w:hAnsi="仿宋" w:eastAsia="仿宋"/>
          <w:sz w:val="32"/>
          <w:szCs w:val="32"/>
        </w:rPr>
      </w:pPr>
      <w:r>
        <w:rPr>
          <w:rFonts w:hint="eastAsia" w:ascii="仿宋" w:hAnsi="仿宋" w:eastAsia="仿宋"/>
          <w:sz w:val="32"/>
          <w:szCs w:val="32"/>
          <w:lang w:val="en-US" w:eastAsia="zh-CN"/>
        </w:rPr>
        <w:t>3.“2024年普通国省干线公路建设养护发展专项资金（大中修养护工程）”</w:t>
      </w:r>
      <w:r>
        <w:rPr>
          <w:rFonts w:hint="eastAsia" w:ascii="仿宋" w:hAnsi="仿宋" w:eastAsia="仿宋"/>
          <w:sz w:val="32"/>
          <w:szCs w:val="32"/>
        </w:rPr>
        <w:t>绩效自评情况：根据年初设定的绩效目标，项目绩效自评得分100分（绩效自评表附后）。全年预算数4488.22万元，执行数4488.22万元，完成预算的100%。通过实施该工程，提升了管养路段的技术状况水平，提高了行车速度，</w:t>
      </w:r>
      <w:r>
        <w:rPr>
          <w:rFonts w:hint="eastAsia" w:ascii="仿宋" w:hAnsi="仿宋" w:eastAsia="仿宋"/>
          <w:sz w:val="32"/>
          <w:szCs w:val="32"/>
          <w:lang w:eastAsia="zh-CN"/>
        </w:rPr>
        <w:t>通行状况良好改善</w:t>
      </w:r>
      <w:r>
        <w:rPr>
          <w:rFonts w:hint="eastAsia" w:ascii="仿宋" w:hAnsi="仿宋" w:eastAsia="仿宋"/>
          <w:sz w:val="32"/>
          <w:szCs w:val="32"/>
        </w:rPr>
        <w:t>。未发现问题。</w:t>
      </w:r>
    </w:p>
    <w:p>
      <w:pPr>
        <w:widowControl/>
        <w:spacing w:line="360" w:lineRule="auto"/>
        <w:ind w:firstLine="640" w:firstLineChars="200"/>
        <w:jc w:val="left"/>
        <w:rPr>
          <w:rFonts w:ascii="仿宋" w:hAnsi="仿宋" w:eastAsia="仿宋"/>
          <w:sz w:val="32"/>
          <w:szCs w:val="32"/>
        </w:rPr>
      </w:pPr>
      <w:r>
        <w:rPr>
          <w:rFonts w:hint="eastAsia" w:ascii="仿宋" w:hAnsi="仿宋" w:eastAsia="仿宋"/>
          <w:sz w:val="32"/>
          <w:szCs w:val="32"/>
          <w:lang w:val="en-US" w:eastAsia="zh-CN"/>
        </w:rPr>
        <w:t>4.</w:t>
      </w:r>
      <w:r>
        <w:rPr>
          <w:rFonts w:hint="eastAsia" w:ascii="国标仿宋" w:hAnsi="国标仿宋" w:eastAsia="国标仿宋" w:cs="国标仿宋"/>
          <w:sz w:val="32"/>
          <w:szCs w:val="32"/>
        </w:rPr>
        <w:t>石家庄市省道S543黄北坪至嶂石岩公路瓦房台桥等9座桥梁水毁重建工程</w:t>
      </w:r>
      <w:r>
        <w:rPr>
          <w:rFonts w:hint="eastAsia" w:ascii="仿宋" w:hAnsi="仿宋" w:eastAsia="仿宋"/>
          <w:sz w:val="32"/>
          <w:szCs w:val="32"/>
        </w:rPr>
        <w:t>绩效自评情况：根据年初设定的绩效目标，项目绩效自评得分</w:t>
      </w:r>
      <w:r>
        <w:rPr>
          <w:rFonts w:hint="eastAsia" w:ascii="仿宋" w:hAnsi="仿宋" w:eastAsia="仿宋"/>
          <w:sz w:val="32"/>
          <w:szCs w:val="32"/>
          <w:lang w:val="en-US" w:eastAsia="zh-CN"/>
        </w:rPr>
        <w:t>98.63</w:t>
      </w:r>
      <w:r>
        <w:rPr>
          <w:rFonts w:hint="eastAsia" w:ascii="仿宋" w:hAnsi="仿宋" w:eastAsia="仿宋"/>
          <w:sz w:val="32"/>
          <w:szCs w:val="32"/>
        </w:rPr>
        <w:t>分（绩效自评表附后）。全年预算数</w:t>
      </w:r>
      <w:r>
        <w:rPr>
          <w:rFonts w:hint="eastAsia" w:ascii="仿宋" w:hAnsi="仿宋" w:eastAsia="仿宋"/>
          <w:sz w:val="32"/>
          <w:szCs w:val="32"/>
          <w:lang w:val="en-US" w:eastAsia="zh-CN"/>
        </w:rPr>
        <w:t>6708</w:t>
      </w:r>
      <w:r>
        <w:rPr>
          <w:rFonts w:hint="eastAsia" w:ascii="仿宋" w:hAnsi="仿宋" w:eastAsia="仿宋"/>
          <w:sz w:val="32"/>
          <w:szCs w:val="32"/>
        </w:rPr>
        <w:t>万元，执行数</w:t>
      </w:r>
      <w:r>
        <w:rPr>
          <w:rFonts w:hint="eastAsia" w:ascii="仿宋" w:hAnsi="仿宋" w:eastAsia="仿宋"/>
          <w:sz w:val="32"/>
          <w:szCs w:val="32"/>
          <w:lang w:val="en-US" w:eastAsia="zh-CN"/>
        </w:rPr>
        <w:t>5789.62</w:t>
      </w:r>
      <w:r>
        <w:rPr>
          <w:rFonts w:hint="eastAsia" w:ascii="仿宋" w:hAnsi="仿宋" w:eastAsia="仿宋"/>
          <w:sz w:val="32"/>
          <w:szCs w:val="32"/>
        </w:rPr>
        <w:t>万元，完成预算的</w:t>
      </w:r>
      <w:r>
        <w:rPr>
          <w:rFonts w:hint="eastAsia" w:ascii="仿宋" w:hAnsi="仿宋" w:eastAsia="仿宋"/>
          <w:sz w:val="32"/>
          <w:szCs w:val="32"/>
          <w:lang w:val="en-US" w:eastAsia="zh-CN"/>
        </w:rPr>
        <w:t>86.3</w:t>
      </w:r>
      <w:r>
        <w:rPr>
          <w:rFonts w:hint="eastAsia" w:ascii="仿宋" w:hAnsi="仿宋" w:eastAsia="仿宋"/>
          <w:sz w:val="32"/>
          <w:szCs w:val="32"/>
        </w:rPr>
        <w:t>%。通过实施该工程，</w:t>
      </w:r>
      <w:r>
        <w:rPr>
          <w:rFonts w:hint="eastAsia" w:ascii="仿宋" w:hAnsi="仿宋" w:eastAsia="仿宋"/>
          <w:sz w:val="32"/>
          <w:szCs w:val="32"/>
          <w:lang w:eastAsia="zh-CN"/>
        </w:rPr>
        <w:t>保证了</w:t>
      </w:r>
      <w:r>
        <w:rPr>
          <w:rFonts w:hint="eastAsia" w:ascii="仿宋" w:hAnsi="仿宋" w:eastAsia="仿宋"/>
          <w:sz w:val="32"/>
          <w:szCs w:val="32"/>
        </w:rPr>
        <w:t>行车</w:t>
      </w:r>
      <w:r>
        <w:rPr>
          <w:rFonts w:hint="eastAsia" w:ascii="仿宋" w:hAnsi="仿宋" w:eastAsia="仿宋"/>
          <w:sz w:val="32"/>
          <w:szCs w:val="32"/>
          <w:lang w:eastAsia="zh-CN"/>
        </w:rPr>
        <w:t>安全</w:t>
      </w:r>
      <w:r>
        <w:rPr>
          <w:rFonts w:hint="eastAsia" w:ascii="仿宋" w:hAnsi="仿宋" w:eastAsia="仿宋"/>
          <w:sz w:val="32"/>
          <w:szCs w:val="32"/>
        </w:rPr>
        <w:t>，</w:t>
      </w:r>
      <w:r>
        <w:rPr>
          <w:rFonts w:hint="eastAsia" w:ascii="仿宋" w:hAnsi="仿宋" w:eastAsia="仿宋"/>
          <w:sz w:val="32"/>
          <w:szCs w:val="32"/>
          <w:lang w:eastAsia="zh-CN"/>
        </w:rPr>
        <w:t>促进了周边经济的发展</w:t>
      </w:r>
      <w:r>
        <w:rPr>
          <w:rFonts w:hint="eastAsia" w:ascii="仿宋" w:hAnsi="仿宋" w:eastAsia="仿宋"/>
          <w:sz w:val="32"/>
          <w:szCs w:val="32"/>
        </w:rPr>
        <w:t>。未发现问题。</w:t>
      </w:r>
    </w:p>
    <w:p>
      <w:pPr>
        <w:widowControl/>
        <w:spacing w:line="360" w:lineRule="auto"/>
        <w:ind w:firstLine="640" w:firstLineChars="200"/>
        <w:jc w:val="left"/>
        <w:rPr>
          <w:rFonts w:hint="eastAsia" w:ascii="仿宋" w:hAnsi="仿宋" w:eastAsia="仿宋"/>
          <w:color w:val="auto"/>
          <w:sz w:val="32"/>
          <w:szCs w:val="32"/>
        </w:rPr>
      </w:pPr>
      <w:r>
        <w:rPr>
          <w:rFonts w:hint="eastAsia" w:ascii="仿宋" w:hAnsi="仿宋" w:eastAsia="仿宋"/>
          <w:sz w:val="32"/>
          <w:szCs w:val="32"/>
          <w:lang w:val="en-US" w:eastAsia="zh-CN"/>
        </w:rPr>
        <w:t>5.</w:t>
      </w:r>
      <w:r>
        <w:rPr>
          <w:rFonts w:hint="eastAsia" w:ascii="仿宋" w:hAnsi="仿宋" w:eastAsia="仿宋"/>
          <w:color w:val="auto"/>
          <w:sz w:val="32"/>
          <w:szCs w:val="32"/>
          <w:lang w:val="en-US" w:eastAsia="zh-CN"/>
        </w:rPr>
        <w:t>2024年车辆购置税收入补助地方资金（第三批）G234（K695.301-K715.408，K715.408-K745.606）安全提升</w:t>
      </w:r>
      <w:r>
        <w:rPr>
          <w:rFonts w:hint="eastAsia" w:ascii="仿宋" w:hAnsi="仿宋" w:eastAsia="仿宋"/>
          <w:color w:val="auto"/>
          <w:sz w:val="32"/>
          <w:szCs w:val="32"/>
        </w:rPr>
        <w:t>绩效自评情况：根据年初设定的绩效目标，项目绩效自评得分</w:t>
      </w:r>
      <w:r>
        <w:rPr>
          <w:rFonts w:hint="eastAsia" w:ascii="仿宋" w:hAnsi="仿宋" w:eastAsia="仿宋"/>
          <w:color w:val="auto"/>
          <w:sz w:val="32"/>
          <w:szCs w:val="32"/>
          <w:lang w:val="en-US" w:eastAsia="zh-CN"/>
        </w:rPr>
        <w:t>100</w:t>
      </w:r>
      <w:r>
        <w:rPr>
          <w:rFonts w:hint="eastAsia" w:ascii="仿宋" w:hAnsi="仿宋" w:eastAsia="仿宋"/>
          <w:color w:val="auto"/>
          <w:sz w:val="32"/>
          <w:szCs w:val="32"/>
        </w:rPr>
        <w:t>分（绩效自评表附后）。全年预算数</w:t>
      </w:r>
      <w:r>
        <w:rPr>
          <w:rFonts w:hint="eastAsia" w:ascii="仿宋" w:hAnsi="仿宋" w:eastAsia="仿宋"/>
          <w:color w:val="auto"/>
          <w:sz w:val="32"/>
          <w:szCs w:val="32"/>
          <w:lang w:val="en-US" w:eastAsia="zh-CN"/>
        </w:rPr>
        <w:t>252</w:t>
      </w:r>
      <w:r>
        <w:rPr>
          <w:rFonts w:hint="eastAsia" w:ascii="仿宋" w:hAnsi="仿宋" w:eastAsia="仿宋"/>
          <w:color w:val="auto"/>
          <w:sz w:val="32"/>
          <w:szCs w:val="32"/>
        </w:rPr>
        <w:t>万元，执行数</w:t>
      </w:r>
      <w:r>
        <w:rPr>
          <w:rFonts w:hint="eastAsia" w:ascii="仿宋" w:hAnsi="仿宋" w:eastAsia="仿宋"/>
          <w:color w:val="auto"/>
          <w:sz w:val="32"/>
          <w:szCs w:val="32"/>
          <w:lang w:val="en-US" w:eastAsia="zh-CN"/>
        </w:rPr>
        <w:t>252</w:t>
      </w:r>
      <w:r>
        <w:rPr>
          <w:rFonts w:hint="eastAsia" w:ascii="仿宋" w:hAnsi="仿宋" w:eastAsia="仿宋"/>
          <w:color w:val="auto"/>
          <w:sz w:val="32"/>
          <w:szCs w:val="32"/>
        </w:rPr>
        <w:t>万元，完成预算的</w:t>
      </w:r>
      <w:r>
        <w:rPr>
          <w:rFonts w:hint="eastAsia" w:ascii="仿宋" w:hAnsi="仿宋" w:eastAsia="仿宋"/>
          <w:color w:val="auto"/>
          <w:sz w:val="32"/>
          <w:szCs w:val="32"/>
          <w:lang w:val="en-US" w:eastAsia="zh-CN"/>
        </w:rPr>
        <w:t>100</w:t>
      </w:r>
      <w:r>
        <w:rPr>
          <w:rFonts w:hint="eastAsia" w:ascii="仿宋" w:hAnsi="仿宋" w:eastAsia="仿宋"/>
          <w:color w:val="auto"/>
          <w:sz w:val="32"/>
          <w:szCs w:val="32"/>
        </w:rPr>
        <w:t>%。通过实施该工程，</w:t>
      </w:r>
      <w:r>
        <w:rPr>
          <w:rFonts w:hint="eastAsia" w:ascii="仿宋" w:hAnsi="仿宋" w:eastAsia="仿宋"/>
          <w:color w:val="auto"/>
          <w:sz w:val="32"/>
          <w:szCs w:val="32"/>
          <w:lang w:eastAsia="zh-CN"/>
        </w:rPr>
        <w:t>提升了公路安全水平</w:t>
      </w:r>
      <w:r>
        <w:rPr>
          <w:rFonts w:hint="eastAsia" w:ascii="仿宋" w:hAnsi="仿宋" w:eastAsia="仿宋"/>
          <w:color w:val="auto"/>
          <w:sz w:val="32"/>
          <w:szCs w:val="32"/>
        </w:rPr>
        <w:t>，</w:t>
      </w:r>
      <w:r>
        <w:rPr>
          <w:rFonts w:hint="eastAsia" w:ascii="仿宋" w:hAnsi="仿宋" w:eastAsia="仿宋"/>
          <w:color w:val="auto"/>
          <w:sz w:val="32"/>
          <w:szCs w:val="32"/>
          <w:lang w:eastAsia="zh-CN"/>
        </w:rPr>
        <w:t>促进了周边经济的发展</w:t>
      </w:r>
      <w:r>
        <w:rPr>
          <w:rFonts w:hint="eastAsia" w:ascii="仿宋" w:hAnsi="仿宋" w:eastAsia="仿宋"/>
          <w:color w:val="auto"/>
          <w:sz w:val="32"/>
          <w:szCs w:val="32"/>
        </w:rPr>
        <w:t>。未发现问题。</w:t>
      </w:r>
    </w:p>
    <w:p>
      <w:pPr>
        <w:widowControl/>
        <w:spacing w:before="0" w:beforeLines="0" w:beforeAutospacing="0" w:after="0" w:afterLines="0" w:afterAutospacing="0" w:line="360" w:lineRule="auto"/>
        <w:ind w:firstLine="480" w:firstLineChars="200"/>
        <w:jc w:val="left"/>
        <w:rPr>
          <w:rFonts w:hint="eastAsia" w:ascii="仿宋" w:hAnsi="仿宋" w:eastAsia="仿宋" w:cs="仿宋"/>
          <w:sz w:val="32"/>
          <w:szCs w:val="32"/>
        </w:rPr>
      </w:pPr>
      <w:r>
        <w:rPr>
          <w:rFonts w:hint="eastAsia"/>
          <w:lang w:val="en-US" w:eastAsia="zh-CN"/>
        </w:rPr>
        <w:t>6.</w:t>
      </w:r>
      <w:r>
        <w:rPr>
          <w:rFonts w:hint="eastAsia" w:ascii="仿宋" w:hAnsi="仿宋" w:eastAsia="仿宋"/>
          <w:sz w:val="32"/>
          <w:szCs w:val="32"/>
          <w:lang w:val="en-US" w:eastAsia="zh-CN"/>
        </w:rPr>
        <w:t>公务用车购置经费</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37.52</w:t>
      </w:r>
      <w:r>
        <w:rPr>
          <w:rFonts w:ascii="Times New Roman" w:eastAsia="仿宋_GB2312"/>
          <w:b w:val="0"/>
          <w:sz w:val="32"/>
          <w:szCs w:val="32"/>
        </w:rPr>
        <w:t>万元，执行数为</w:t>
      </w:r>
      <w:r>
        <w:rPr>
          <w:rFonts w:hint="eastAsia" w:ascii="Times New Roman" w:eastAsia="仿宋_GB2312"/>
          <w:b w:val="0"/>
          <w:sz w:val="32"/>
          <w:szCs w:val="32"/>
          <w:lang w:val="en-US" w:eastAsia="zh-CN"/>
        </w:rPr>
        <w:t>37.52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通过项目实施，</w:t>
      </w:r>
      <w:r>
        <w:rPr>
          <w:rFonts w:hint="eastAsia" w:ascii="Times New Roman" w:eastAsia="仿宋_GB2312"/>
          <w:b w:val="0"/>
          <w:sz w:val="32"/>
          <w:szCs w:val="32"/>
        </w:rPr>
        <w:t>购置更新公务用车，满足单位日常运转需求,保障工作顺利开展。</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仿宋" w:hAnsi="仿宋" w:eastAsia="仿宋"/>
          <w:sz w:val="32"/>
          <w:szCs w:val="32"/>
          <w:lang w:val="en-US" w:eastAsia="zh-CN"/>
        </w:rPr>
        <w:t>7.火车站出租车待客区域保洁费用</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49.85</w:t>
      </w:r>
      <w:r>
        <w:rPr>
          <w:rFonts w:ascii="Times New Roman" w:eastAsia="仿宋_GB2312"/>
          <w:b w:val="0"/>
          <w:sz w:val="32"/>
          <w:szCs w:val="32"/>
        </w:rPr>
        <w:t>万元，执行数为</w:t>
      </w:r>
      <w:r>
        <w:rPr>
          <w:rFonts w:hint="eastAsia" w:ascii="Times New Roman" w:eastAsia="仿宋_GB2312"/>
          <w:b w:val="0"/>
          <w:sz w:val="32"/>
          <w:szCs w:val="32"/>
          <w:lang w:val="en-US" w:eastAsia="zh-CN"/>
        </w:rPr>
        <w:t>49.85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通过项目实施，</w:t>
      </w:r>
      <w:r>
        <w:rPr>
          <w:rFonts w:hint="eastAsia" w:ascii="Times New Roman" w:eastAsia="仿宋_GB2312"/>
          <w:b w:val="0"/>
          <w:sz w:val="32"/>
          <w:szCs w:val="32"/>
        </w:rPr>
        <w:t>对火车站待客区域保洁，确保新火车站东西广场出租车待客区域干净卫生</w:t>
      </w:r>
      <w:r>
        <w:rPr>
          <w:rFonts w:hint="eastAsia" w:ascii="Times New Roman" w:eastAsia="仿宋_GB2312"/>
          <w:b w:val="0"/>
          <w:sz w:val="32"/>
          <w:szCs w:val="32"/>
          <w:lang w:eastAsia="zh-CN"/>
        </w:rPr>
        <w:t>；</w:t>
      </w:r>
      <w:r>
        <w:rPr>
          <w:rFonts w:hint="eastAsia" w:ascii="Times New Roman" w:eastAsia="仿宋_GB2312"/>
          <w:b w:val="0"/>
          <w:sz w:val="32"/>
          <w:szCs w:val="32"/>
        </w:rPr>
        <w:t>保障出租车辆严格有序文明经营，提升我市公众形象。</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pPr>
        <w:pStyle w:val="10"/>
        <w:keepNext w:val="0"/>
        <w:keepLines w:val="0"/>
        <w:pageBreakBefore w:val="0"/>
        <w:widowControl/>
        <w:kinsoku/>
        <w:wordWrap/>
        <w:overflowPunct/>
        <w:topLinePunct w:val="0"/>
        <w:autoSpaceDE/>
        <w:autoSpaceDN/>
        <w:bidi w:val="0"/>
        <w:spacing w:beforeAutospacing="0" w:afterAutospacing="0"/>
        <w:ind w:firstLine="640" w:firstLineChars="200"/>
        <w:textAlignment w:val="auto"/>
        <w:rPr>
          <w:rFonts w:hint="eastAsia" w:ascii="Times New Roman" w:eastAsia="仿宋_GB2312" w:cs="宋体" w:hAnsiTheme="minorHAnsi"/>
          <w:b w:val="0"/>
          <w:color w:val="auto"/>
          <w:kern w:val="0"/>
          <w:sz w:val="32"/>
          <w:szCs w:val="32"/>
          <w:lang w:val="zh-CN" w:eastAsia="zh-CN" w:bidi="ar-SA"/>
        </w:rPr>
      </w:pPr>
      <w:r>
        <w:rPr>
          <w:rFonts w:hint="eastAsia" w:ascii="Times New Roman" w:eastAsia="仿宋_GB2312" w:cs="宋体"/>
          <w:b w:val="0"/>
          <w:color w:val="auto"/>
          <w:kern w:val="0"/>
          <w:sz w:val="32"/>
          <w:szCs w:val="32"/>
          <w:lang w:val="en-US" w:eastAsia="zh-CN" w:bidi="ar-SA"/>
        </w:rPr>
        <w:t>8.</w:t>
      </w:r>
      <w:r>
        <w:rPr>
          <w:rFonts w:hint="eastAsia" w:ascii="Times New Roman" w:eastAsia="仿宋_GB2312" w:cs="宋体" w:hAnsiTheme="minorHAnsi"/>
          <w:b w:val="0"/>
          <w:color w:val="auto"/>
          <w:kern w:val="0"/>
          <w:sz w:val="32"/>
          <w:szCs w:val="32"/>
          <w:lang w:val="en-US" w:eastAsia="zh-CN" w:bidi="ar-SA"/>
        </w:rPr>
        <w:t>质量监督管理工作中的检测经费</w:t>
      </w:r>
      <w:r>
        <w:rPr>
          <w:rFonts w:hint="eastAsia" w:ascii="Times New Roman" w:eastAsia="仿宋_GB2312" w:cs="宋体" w:hAnsiTheme="minorHAnsi"/>
          <w:b w:val="0"/>
          <w:color w:val="auto"/>
          <w:kern w:val="0"/>
          <w:sz w:val="32"/>
          <w:szCs w:val="32"/>
          <w:lang w:val="zh-CN" w:eastAsia="zh-CN" w:bidi="ar-SA"/>
        </w:rPr>
        <w:t>项目绩效自评情况。根据年初设定的绩效目标，</w:t>
      </w:r>
      <w:r>
        <w:rPr>
          <w:rFonts w:hint="eastAsia" w:ascii="Times New Roman" w:eastAsia="仿宋_GB2312" w:cs="宋体" w:hAnsiTheme="minorHAnsi"/>
          <w:b w:val="0"/>
          <w:color w:val="auto"/>
          <w:kern w:val="0"/>
          <w:sz w:val="32"/>
          <w:szCs w:val="32"/>
          <w:lang w:val="en-US" w:eastAsia="zh-CN" w:bidi="ar-SA"/>
        </w:rPr>
        <w:t>质量监督管理工作中的检测经费</w:t>
      </w:r>
      <w:r>
        <w:rPr>
          <w:rFonts w:hint="eastAsia" w:ascii="Times New Roman" w:eastAsia="仿宋_GB2312" w:cs="宋体" w:hAnsiTheme="minorHAnsi"/>
          <w:b w:val="0"/>
          <w:color w:val="auto"/>
          <w:kern w:val="0"/>
          <w:sz w:val="32"/>
          <w:szCs w:val="32"/>
          <w:lang w:val="zh-CN" w:eastAsia="zh-CN" w:bidi="ar-SA"/>
        </w:rPr>
        <w:t>项目绩效自评得分为</w:t>
      </w:r>
      <w:r>
        <w:rPr>
          <w:rFonts w:hint="eastAsia" w:ascii="Times New Roman" w:eastAsia="仿宋_GB2312" w:cs="宋体" w:hAnsiTheme="minorHAnsi"/>
          <w:b w:val="0"/>
          <w:color w:val="auto"/>
          <w:kern w:val="0"/>
          <w:sz w:val="32"/>
          <w:szCs w:val="32"/>
          <w:lang w:val="en-US" w:eastAsia="zh-CN" w:bidi="ar-SA"/>
        </w:rPr>
        <w:t>100</w:t>
      </w:r>
      <w:r>
        <w:rPr>
          <w:rFonts w:hint="eastAsia" w:ascii="Times New Roman" w:eastAsia="仿宋_GB2312" w:cs="宋体" w:hAnsiTheme="minorHAnsi"/>
          <w:b w:val="0"/>
          <w:color w:val="auto"/>
          <w:kern w:val="0"/>
          <w:sz w:val="32"/>
          <w:szCs w:val="32"/>
          <w:lang w:val="zh-CN" w:eastAsia="zh-CN" w:bidi="ar-SA"/>
        </w:rPr>
        <w:t>分（绩效自评表附后）。全年预算数为</w:t>
      </w:r>
      <w:r>
        <w:rPr>
          <w:rFonts w:hint="eastAsia" w:ascii="Times New Roman" w:eastAsia="仿宋_GB2312" w:cs="宋体"/>
          <w:b w:val="0"/>
          <w:color w:val="auto"/>
          <w:kern w:val="0"/>
          <w:sz w:val="32"/>
          <w:szCs w:val="32"/>
          <w:lang w:val="en-US" w:eastAsia="zh-CN" w:bidi="ar-SA"/>
        </w:rPr>
        <w:t>6</w:t>
      </w:r>
      <w:r>
        <w:rPr>
          <w:rFonts w:hint="eastAsia" w:ascii="Times New Roman" w:eastAsia="仿宋_GB2312" w:cs="宋体" w:hAnsiTheme="minorHAnsi"/>
          <w:b w:val="0"/>
          <w:color w:val="auto"/>
          <w:kern w:val="0"/>
          <w:sz w:val="32"/>
          <w:szCs w:val="32"/>
          <w:lang w:val="en-US" w:eastAsia="zh-CN" w:bidi="ar-SA"/>
        </w:rPr>
        <w:t>00</w:t>
      </w:r>
      <w:r>
        <w:rPr>
          <w:rFonts w:hint="eastAsia" w:ascii="Times New Roman" w:eastAsia="仿宋_GB2312" w:cs="宋体"/>
          <w:b w:val="0"/>
          <w:color w:val="auto"/>
          <w:kern w:val="0"/>
          <w:sz w:val="32"/>
          <w:szCs w:val="32"/>
          <w:lang w:val="en-US" w:eastAsia="zh-CN" w:bidi="ar-SA"/>
        </w:rPr>
        <w:t>.00</w:t>
      </w:r>
      <w:r>
        <w:rPr>
          <w:rFonts w:hint="eastAsia" w:ascii="Times New Roman" w:eastAsia="仿宋_GB2312" w:cs="宋体" w:hAnsiTheme="minorHAnsi"/>
          <w:b w:val="0"/>
          <w:color w:val="auto"/>
          <w:kern w:val="0"/>
          <w:sz w:val="32"/>
          <w:szCs w:val="32"/>
          <w:lang w:val="zh-CN" w:eastAsia="zh-CN" w:bidi="ar-SA"/>
        </w:rPr>
        <w:t>万元，执行数为</w:t>
      </w:r>
      <w:r>
        <w:rPr>
          <w:rFonts w:hint="eastAsia" w:ascii="Times New Roman" w:eastAsia="仿宋_GB2312" w:cs="宋体"/>
          <w:b w:val="0"/>
          <w:color w:val="auto"/>
          <w:kern w:val="0"/>
          <w:sz w:val="32"/>
          <w:szCs w:val="32"/>
          <w:lang w:val="en-US" w:eastAsia="zh-CN" w:bidi="ar-SA"/>
        </w:rPr>
        <w:t>6</w:t>
      </w:r>
      <w:r>
        <w:rPr>
          <w:rFonts w:hint="eastAsia" w:ascii="Times New Roman" w:eastAsia="仿宋_GB2312" w:cs="宋体" w:hAnsiTheme="minorHAnsi"/>
          <w:b w:val="0"/>
          <w:color w:val="auto"/>
          <w:kern w:val="0"/>
          <w:sz w:val="32"/>
          <w:szCs w:val="32"/>
          <w:lang w:val="en-US" w:eastAsia="zh-CN" w:bidi="ar-SA"/>
        </w:rPr>
        <w:t>00</w:t>
      </w:r>
      <w:r>
        <w:rPr>
          <w:rFonts w:hint="eastAsia" w:ascii="Times New Roman" w:eastAsia="仿宋_GB2312" w:cs="宋体"/>
          <w:b w:val="0"/>
          <w:color w:val="auto"/>
          <w:kern w:val="0"/>
          <w:sz w:val="32"/>
          <w:szCs w:val="32"/>
          <w:lang w:val="en-US" w:eastAsia="zh-CN" w:bidi="ar-SA"/>
        </w:rPr>
        <w:t>.00</w:t>
      </w:r>
      <w:r>
        <w:rPr>
          <w:rFonts w:hint="eastAsia" w:ascii="Times New Roman" w:eastAsia="仿宋_GB2312" w:cs="宋体" w:hAnsiTheme="minorHAnsi"/>
          <w:b w:val="0"/>
          <w:color w:val="auto"/>
          <w:kern w:val="0"/>
          <w:sz w:val="32"/>
          <w:szCs w:val="32"/>
          <w:lang w:val="zh-CN" w:eastAsia="zh-CN" w:bidi="ar-SA"/>
        </w:rPr>
        <w:t>万元，完成预算的</w:t>
      </w:r>
      <w:r>
        <w:rPr>
          <w:rFonts w:hint="eastAsia" w:ascii="Times New Roman" w:eastAsia="仿宋_GB2312" w:cs="宋体" w:hAnsiTheme="minorHAnsi"/>
          <w:b w:val="0"/>
          <w:color w:val="auto"/>
          <w:kern w:val="0"/>
          <w:sz w:val="32"/>
          <w:szCs w:val="32"/>
          <w:lang w:val="en-US" w:eastAsia="zh-CN" w:bidi="ar-SA"/>
        </w:rPr>
        <w:t>100.0</w:t>
      </w:r>
      <w:r>
        <w:rPr>
          <w:rFonts w:hint="eastAsia" w:ascii="Times New Roman" w:eastAsia="仿宋_GB2312" w:cs="宋体" w:hAnsiTheme="minorHAnsi"/>
          <w:b w:val="0"/>
          <w:color w:val="auto"/>
          <w:kern w:val="0"/>
          <w:sz w:val="32"/>
          <w:szCs w:val="32"/>
          <w:lang w:val="zh-CN" w:eastAsia="zh-CN" w:bidi="ar-SA"/>
        </w:rPr>
        <w:t>%。项目绩效目标完成情况：一是</w:t>
      </w:r>
      <w:r>
        <w:rPr>
          <w:rFonts w:hint="eastAsia" w:ascii="Times New Roman" w:eastAsia="仿宋_GB2312" w:cs="宋体" w:hAnsiTheme="minorHAnsi"/>
          <w:b w:val="0"/>
          <w:color w:val="auto"/>
          <w:kern w:val="0"/>
          <w:sz w:val="32"/>
          <w:szCs w:val="32"/>
          <w:lang w:val="en-US" w:eastAsia="zh-CN" w:bidi="ar-SA"/>
        </w:rPr>
        <w:t>通过项目实施，能够保障单位对受理监督的公路建设项目正常开展交工核验检测工作</w:t>
      </w:r>
      <w:r>
        <w:rPr>
          <w:rFonts w:hint="eastAsia" w:ascii="Times New Roman" w:eastAsia="仿宋_GB2312" w:cs="宋体" w:hAnsiTheme="minorHAnsi"/>
          <w:b w:val="0"/>
          <w:color w:val="auto"/>
          <w:kern w:val="0"/>
          <w:sz w:val="32"/>
          <w:szCs w:val="32"/>
          <w:lang w:val="zh-CN" w:eastAsia="zh-CN" w:bidi="ar-SA"/>
        </w:rPr>
        <w:t>；二是</w:t>
      </w:r>
      <w:r>
        <w:rPr>
          <w:rFonts w:hint="eastAsia" w:ascii="Times New Roman" w:eastAsia="仿宋_GB2312" w:cs="宋体" w:hAnsiTheme="minorHAnsi"/>
          <w:b w:val="0"/>
          <w:color w:val="auto"/>
          <w:kern w:val="0"/>
          <w:sz w:val="32"/>
          <w:szCs w:val="32"/>
          <w:lang w:val="en-US" w:eastAsia="zh-CN" w:bidi="ar-SA"/>
        </w:rPr>
        <w:t>通过项目实施，能够保障我单位有关业务科室完成年度农村公路质量监督检查等工作任务</w:t>
      </w:r>
      <w:r>
        <w:rPr>
          <w:rFonts w:hint="eastAsia" w:ascii="Times New Roman" w:eastAsia="仿宋_GB2312" w:cs="宋体" w:hAnsiTheme="minorHAnsi"/>
          <w:b w:val="0"/>
          <w:color w:val="auto"/>
          <w:kern w:val="0"/>
          <w:sz w:val="32"/>
          <w:szCs w:val="32"/>
          <w:lang w:val="zh-CN" w:eastAsia="zh-CN" w:bidi="ar-SA"/>
        </w:rPr>
        <w:t>。</w:t>
      </w:r>
      <w:r>
        <w:rPr>
          <w:rFonts w:hint="eastAsia" w:ascii="Times New Roman" w:eastAsia="仿宋_GB2312" w:cs="宋体" w:hAnsiTheme="minorHAnsi"/>
          <w:b w:val="0"/>
          <w:color w:val="auto"/>
          <w:kern w:val="0"/>
          <w:sz w:val="32"/>
          <w:szCs w:val="32"/>
          <w:lang w:val="en-US" w:eastAsia="zh-CN" w:bidi="ar-SA"/>
        </w:rPr>
        <w:t>完成了年初设定的各项绩效目标，完成率100.0%，项目执行中未</w:t>
      </w:r>
      <w:r>
        <w:rPr>
          <w:rFonts w:hint="eastAsia" w:ascii="Times New Roman" w:eastAsia="仿宋_GB2312" w:cs="宋体" w:hAnsiTheme="minorHAnsi"/>
          <w:b w:val="0"/>
          <w:color w:val="auto"/>
          <w:kern w:val="0"/>
          <w:sz w:val="32"/>
          <w:szCs w:val="32"/>
          <w:lang w:val="zh-CN" w:eastAsia="zh-CN" w:bidi="ar-SA"/>
        </w:rPr>
        <w:t>发现的问题。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年三环路等道路维护费项目绩效自评情况：根据年初设定的绩效目标，202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年三环路等道路维护费项目绩效自评得分为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17602.41</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17602.41</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Times New Roman" w:hAnsi="Times New Roman" w:eastAsia="仿宋_GB2312" w:cs="Times New Roman"/>
          <w:color w:val="auto"/>
          <w:kern w:val="2"/>
          <w:sz w:val="32"/>
          <w:szCs w:val="32"/>
          <w:lang w:val="zh-CN" w:eastAsia="zh-CN" w:bidi="ar-SA"/>
        </w:rPr>
        <w:t>按计划</w:t>
      </w:r>
      <w:r>
        <w:rPr>
          <w:rFonts w:hint="eastAsia" w:ascii="Times New Roman" w:hAnsi="Times New Roman" w:eastAsia="仿宋_GB2312" w:cs="Times New Roman"/>
          <w:color w:val="auto"/>
          <w:kern w:val="2"/>
          <w:sz w:val="32"/>
          <w:szCs w:val="32"/>
          <w:lang w:val="en-US" w:eastAsia="zh-CN" w:bidi="ar-SA"/>
        </w:rPr>
        <w:t>做好三环路等道路的清扫保洁、洒水、绿化养护等日常养护工作及各类巡查、检查；</w:t>
      </w:r>
      <w:r>
        <w:rPr>
          <w:rFonts w:hint="eastAsia" w:ascii="Times New Roman" w:hAnsi="Times New Roman" w:eastAsia="仿宋_GB2312" w:cs="Times New Roman"/>
          <w:color w:val="auto"/>
          <w:kern w:val="2"/>
          <w:sz w:val="32"/>
          <w:szCs w:val="32"/>
          <w:lang w:val="zh-CN" w:eastAsia="zh-CN" w:bidi="ar-SA"/>
        </w:rPr>
        <w:t>完成道路养护里程</w:t>
      </w:r>
      <w:r>
        <w:rPr>
          <w:rFonts w:hint="eastAsia" w:ascii="Times New Roman" w:hAnsi="Times New Roman" w:eastAsia="仿宋_GB2312" w:cs="Times New Roman"/>
          <w:color w:val="auto"/>
          <w:kern w:val="2"/>
          <w:sz w:val="32"/>
          <w:szCs w:val="32"/>
          <w:lang w:val="en-US" w:eastAsia="zh-CN" w:bidi="ar-SA"/>
        </w:rPr>
        <w:t>265.1公里、照明养护里程149.1公里、完成蓄水池、排水管道的清淤及修复；路面挖补、沥青灌缝，雨雪后路面清理；路面、桥梁技术状况检测评定；针对道路坑槽、桥梁局部构件损坏、交通设施缺损、机电照明设施的损坏、排水管道的堵塞等病害的修复工作。以及电费、设计费等费用。未发现问题。</w:t>
      </w:r>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left"/>
        <w:textAlignment w:val="auto"/>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10.</w:t>
      </w:r>
      <w:r>
        <w:rPr>
          <w:rFonts w:ascii="Times New Roman" w:eastAsia="仿宋_GB2312"/>
          <w:b w:val="0"/>
          <w:sz w:val="32"/>
          <w:szCs w:val="32"/>
        </w:rPr>
        <w:t>省道S248正定至繁峙公路正定段改建工程项目绩效自评情况：根据年初设定的绩效目标，省道S248正定至繁峙公路正定段改建工程项目绩效自评得分为100分（绩效自评表附后）。全年预算数为2,000万元，执行数为2,000万元，完成预算的100%。项目绩效目标完成情况：通过对省道S248正定至繁峙公路正定段改建工程项目的改造，提高了道路通行能力及改造段公路质量。</w:t>
      </w:r>
      <w:r>
        <w:rPr>
          <w:rFonts w:hint="eastAsia" w:ascii="Times New Roman" w:eastAsia="仿宋_GB2312"/>
          <w:b w:val="0"/>
          <w:sz w:val="32"/>
          <w:szCs w:val="32"/>
          <w:lang w:val="en-US" w:eastAsia="zh-CN"/>
        </w:rPr>
        <w:t>未发展主要问题。</w:t>
      </w:r>
    </w:p>
    <w:p>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p>
    <w:p>
      <w:pPr>
        <w:rPr>
          <w:rFonts w:hint="eastAsia" w:ascii="仿宋" w:hAnsi="仿宋" w:eastAsia="仿宋"/>
          <w:color w:val="auto"/>
          <w:sz w:val="32"/>
          <w:szCs w:val="32"/>
        </w:rPr>
      </w:pPr>
      <w:r>
        <w:rPr>
          <w:rFonts w:hint="eastAsia" w:ascii="仿宋" w:hAnsi="仿宋" w:eastAsia="仿宋"/>
          <w:color w:val="auto"/>
          <w:sz w:val="32"/>
          <w:szCs w:val="32"/>
        </w:rPr>
        <w:br w:type="page"/>
      </w:r>
    </w:p>
    <w:tbl>
      <w:tblPr>
        <w:tblStyle w:val="11"/>
        <w:tblpPr w:leftFromText="180" w:rightFromText="180" w:vertAnchor="text" w:horzAnchor="page" w:tblpX="1338" w:tblpY="369"/>
        <w:tblOverlap w:val="never"/>
        <w:tblW w:w="9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91"/>
        <w:gridCol w:w="888"/>
        <w:gridCol w:w="1129"/>
        <w:gridCol w:w="1191"/>
        <w:gridCol w:w="1245"/>
        <w:gridCol w:w="1"/>
        <w:gridCol w:w="1455"/>
        <w:gridCol w:w="1234"/>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646" w:hRule="atLeast"/>
        </w:trPr>
        <w:tc>
          <w:tcPr>
            <w:tcW w:w="9581" w:type="dxa"/>
            <w:gridSpan w:val="9"/>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eastAsia" w:ascii="方正小标宋_GBK" w:hAnsi="方正小标宋_GBK" w:eastAsia="方正小标宋_GBK" w:cs="方正小标宋_GBK"/>
                <w:i w:val="0"/>
                <w:color w:val="000000"/>
                <w:kern w:val="0"/>
                <w:sz w:val="44"/>
                <w:szCs w:val="44"/>
                <w:u w:val="none"/>
                <w:lang w:val="en-US" w:eastAsia="zh-CN" w:bidi="ar"/>
              </w:rPr>
              <w:t>市级部门预算项目绩效自评表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7" w:hRule="atLeast"/>
        </w:trPr>
        <w:tc>
          <w:tcPr>
            <w:tcW w:w="9581" w:type="dxa"/>
            <w:gridSpan w:val="9"/>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（2024年度）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7" w:hRule="atLeast"/>
        </w:trPr>
        <w:tc>
          <w:tcPr>
            <w:tcW w:w="1191"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w:t>
            </w:r>
          </w:p>
        </w:tc>
        <w:tc>
          <w:tcPr>
            <w:tcW w:w="3208" w:type="dxa"/>
            <w:gridSpan w:val="3"/>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石家庄市交通运输局</w:t>
            </w:r>
          </w:p>
        </w:tc>
        <w:tc>
          <w:tcPr>
            <w:tcW w:w="1246" w:type="dxa"/>
            <w:gridSpan w:val="2"/>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5" w:type="dxa"/>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4" w:type="dxa"/>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5" w:hRule="atLeast"/>
        </w:trPr>
        <w:tc>
          <w:tcPr>
            <w:tcW w:w="1191"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88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320"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公交运营补贴</w:t>
            </w:r>
          </w:p>
        </w:tc>
        <w:tc>
          <w:tcPr>
            <w:tcW w:w="124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3936" w:type="dxa"/>
            <w:gridSpan w:val="3"/>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石家庄市交通运输局本级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5" w:hRule="atLeast"/>
        </w:trPr>
        <w:tc>
          <w:tcPr>
            <w:tcW w:w="1191"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2017"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437" w:type="dxa"/>
            <w:gridSpan w:val="3"/>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689"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1129"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92000</w:t>
            </w:r>
          </w:p>
        </w:tc>
        <w:tc>
          <w:tcPr>
            <w:tcW w:w="1191"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246" w:type="dxa"/>
            <w:gridSpan w:val="2"/>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92000</w:t>
            </w:r>
          </w:p>
        </w:tc>
        <w:tc>
          <w:tcPr>
            <w:tcW w:w="145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234"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92000</w:t>
            </w:r>
          </w:p>
        </w:tc>
        <w:tc>
          <w:tcPr>
            <w:tcW w:w="1247"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0"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129"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92000</w:t>
            </w:r>
          </w:p>
        </w:tc>
        <w:tc>
          <w:tcPr>
            <w:tcW w:w="1191"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246" w:type="dxa"/>
            <w:gridSpan w:val="2"/>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92000</w:t>
            </w:r>
          </w:p>
        </w:tc>
        <w:tc>
          <w:tcPr>
            <w:tcW w:w="145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234"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92000</w:t>
            </w:r>
          </w:p>
        </w:tc>
        <w:tc>
          <w:tcPr>
            <w:tcW w:w="1247"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129" w:type="dxa"/>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191"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246" w:type="dxa"/>
            <w:gridSpan w:val="2"/>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45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234" w:type="dxa"/>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47"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1" w:hRule="atLeast"/>
        </w:trPr>
        <w:tc>
          <w:tcPr>
            <w:tcW w:w="1191"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208" w:type="dxa"/>
            <w:gridSpan w:val="3"/>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3935" w:type="dxa"/>
            <w:gridSpan w:val="4"/>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08" w:type="dxa"/>
            <w:gridSpan w:val="3"/>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年运营线路条数达到235条，年载客里程完成年度计划里程的90%以上。</w:t>
            </w:r>
          </w:p>
        </w:tc>
        <w:tc>
          <w:tcPr>
            <w:tcW w:w="3935" w:type="dxa"/>
            <w:gridSpan w:val="4"/>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年运营线路条数达到254条，年载客里程完成年度计划里程的99%。</w:t>
            </w:r>
          </w:p>
        </w:tc>
        <w:tc>
          <w:tcPr>
            <w:tcW w:w="1247"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08" w:type="dxa"/>
            <w:gridSpan w:val="3"/>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35" w:type="dxa"/>
            <w:gridSpan w:val="4"/>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7"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08" w:type="dxa"/>
            <w:gridSpan w:val="3"/>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35" w:type="dxa"/>
            <w:gridSpan w:val="4"/>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7"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atLeast"/>
        </w:trPr>
        <w:tc>
          <w:tcPr>
            <w:tcW w:w="1191"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88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1129"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公交运营线路条数</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 235 条 </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254条</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年运客人次完成率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 85 % </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94%</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年运营里程完成率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 85 % </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99%</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百万公里事故率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hint="default" w:ascii="Calibri" w:hAnsi="Calibri" w:eastAsia="宋体" w:cs="Calibri"/>
                <w:i w:val="0"/>
                <w:color w:val="000000"/>
                <w:kern w:val="0"/>
                <w:sz w:val="20"/>
                <w:szCs w:val="20"/>
                <w:u w:val="none"/>
                <w:lang w:val="en-US" w:eastAsia="zh-CN" w:bidi="ar"/>
              </w:rPr>
              <w:t>1</w:t>
            </w:r>
            <w:r>
              <w:rPr>
                <w:rStyle w:val="27"/>
                <w:lang w:val="en-US" w:eastAsia="zh-CN" w:bidi="ar"/>
              </w:rPr>
              <w:t>起</w:t>
            </w:r>
            <w:r>
              <w:rPr>
                <w:rFonts w:hint="default" w:ascii="Calibri" w:hAnsi="Calibri" w:eastAsia="宋体" w:cs="Calibri"/>
                <w:i w:val="0"/>
                <w:color w:val="000000"/>
                <w:kern w:val="0"/>
                <w:sz w:val="20"/>
                <w:szCs w:val="20"/>
                <w:u w:val="none"/>
                <w:lang w:val="en-US" w:eastAsia="zh-CN" w:bidi="ar"/>
              </w:rPr>
              <w:t>/</w:t>
            </w:r>
            <w:r>
              <w:rPr>
                <w:rStyle w:val="27"/>
                <w:lang w:val="en-US" w:eastAsia="zh-CN" w:bidi="ar"/>
              </w:rPr>
              <w:t>百万公里</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0.33</w:t>
            </w:r>
            <w:r>
              <w:rPr>
                <w:rStyle w:val="27"/>
                <w:lang w:val="en-US" w:eastAsia="zh-CN" w:bidi="ar"/>
              </w:rPr>
              <w:t>起</w:t>
            </w:r>
            <w:r>
              <w:rPr>
                <w:rFonts w:hint="default" w:ascii="Calibri" w:hAnsi="Calibri" w:eastAsia="宋体" w:cs="Calibri"/>
                <w:i w:val="0"/>
                <w:color w:val="000000"/>
                <w:kern w:val="0"/>
                <w:sz w:val="20"/>
                <w:szCs w:val="20"/>
                <w:u w:val="none"/>
                <w:lang w:val="en-US" w:eastAsia="zh-CN" w:bidi="ar"/>
              </w:rPr>
              <w:t>/</w:t>
            </w:r>
            <w:r>
              <w:rPr>
                <w:rStyle w:val="27"/>
                <w:lang w:val="en-US" w:eastAsia="zh-CN" w:bidi="ar"/>
              </w:rPr>
              <w:t>百万公里</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工资发放及时率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ascii="Calibri" w:hAnsi="Calibri" w:eastAsia="宋体" w:cs="Calibri"/>
                <w:i w:val="0"/>
                <w:color w:val="000000"/>
                <w:kern w:val="0"/>
                <w:sz w:val="20"/>
                <w:szCs w:val="20"/>
                <w:u w:val="none"/>
                <w:lang w:val="en-US" w:eastAsia="zh-CN" w:bidi="ar"/>
              </w:rPr>
              <w:t>25</w:t>
            </w:r>
            <w:r>
              <w:rPr>
                <w:rFonts w:hint="eastAsia" w:ascii="宋体" w:hAnsi="宋体" w:eastAsia="宋体" w:cs="宋体"/>
                <w:i w:val="0"/>
                <w:color w:val="000000"/>
                <w:kern w:val="0"/>
                <w:sz w:val="20"/>
                <w:szCs w:val="20"/>
                <w:u w:val="none"/>
                <w:lang w:val="en-US" w:eastAsia="zh-CN" w:bidi="ar"/>
              </w:rPr>
              <w:t>日</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ascii="Calibri" w:hAnsi="Calibri" w:eastAsia="宋体" w:cs="Calibri"/>
                <w:i w:val="0"/>
                <w:color w:val="000000"/>
                <w:kern w:val="0"/>
                <w:sz w:val="20"/>
                <w:szCs w:val="20"/>
                <w:u w:val="none"/>
                <w:lang w:val="en-US" w:eastAsia="zh-CN" w:bidi="ar"/>
              </w:rPr>
              <w:t>25</w:t>
            </w:r>
            <w:r>
              <w:rPr>
                <w:rFonts w:hint="eastAsia" w:ascii="宋体" w:hAnsi="宋体" w:eastAsia="宋体" w:cs="宋体"/>
                <w:i w:val="0"/>
                <w:color w:val="000000"/>
                <w:kern w:val="0"/>
                <w:sz w:val="20"/>
                <w:szCs w:val="20"/>
                <w:u w:val="none"/>
                <w:lang w:val="en-US" w:eastAsia="zh-CN" w:bidi="ar"/>
              </w:rPr>
              <w:t>日</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百公里燃料消耗</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hint="default" w:ascii="Calibri" w:hAnsi="Calibri" w:eastAsia="宋体" w:cs="Calibri"/>
                <w:i w:val="0"/>
                <w:color w:val="000000"/>
                <w:kern w:val="0"/>
                <w:sz w:val="20"/>
                <w:szCs w:val="20"/>
                <w:u w:val="none"/>
                <w:lang w:val="en-US" w:eastAsia="zh-CN" w:bidi="ar"/>
              </w:rPr>
              <w:t>130</w:t>
            </w:r>
            <w:r>
              <w:rPr>
                <w:rStyle w:val="27"/>
                <w:lang w:val="en-US" w:eastAsia="zh-CN" w:bidi="ar"/>
              </w:rPr>
              <w:t>元</w:t>
            </w:r>
            <w:r>
              <w:rPr>
                <w:rFonts w:hint="default" w:ascii="Calibri" w:hAnsi="Calibri" w:eastAsia="宋体" w:cs="Calibri"/>
                <w:i w:val="0"/>
                <w:color w:val="000000"/>
                <w:kern w:val="0"/>
                <w:sz w:val="20"/>
                <w:szCs w:val="20"/>
                <w:u w:val="none"/>
                <w:lang w:val="en-US" w:eastAsia="zh-CN" w:bidi="ar"/>
              </w:rPr>
              <w:t>/</w:t>
            </w:r>
            <w:r>
              <w:rPr>
                <w:rStyle w:val="27"/>
                <w:lang w:val="en-US" w:eastAsia="zh-CN" w:bidi="ar"/>
              </w:rPr>
              <w:t>百公里</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83.92</w:t>
            </w:r>
            <w:r>
              <w:rPr>
                <w:rStyle w:val="27"/>
                <w:lang w:val="en-US" w:eastAsia="zh-CN" w:bidi="ar"/>
              </w:rPr>
              <w:t>元</w:t>
            </w:r>
            <w:r>
              <w:rPr>
                <w:rFonts w:hint="default" w:ascii="Calibri" w:hAnsi="Calibri" w:eastAsia="宋体" w:cs="Calibri"/>
                <w:i w:val="0"/>
                <w:color w:val="000000"/>
                <w:kern w:val="0"/>
                <w:sz w:val="20"/>
                <w:szCs w:val="20"/>
                <w:u w:val="none"/>
                <w:lang w:val="en-US" w:eastAsia="zh-CN" w:bidi="ar"/>
              </w:rPr>
              <w:t>/</w:t>
            </w:r>
            <w:r>
              <w:rPr>
                <w:rStyle w:val="27"/>
                <w:lang w:val="en-US" w:eastAsia="zh-CN" w:bidi="ar"/>
              </w:rPr>
              <w:t>百公里</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9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预算资金的到位、执行情况</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效益指标（40分）</w:t>
            </w: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保障城市公交正常运营</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保障</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保障正常运转</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新能源公交车占比</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 </w:t>
            </w:r>
            <w:r>
              <w:rPr>
                <w:rStyle w:val="28"/>
                <w:lang w:val="en-US" w:eastAsia="zh-CN" w:bidi="ar"/>
              </w:rPr>
              <w:t xml:space="preserve">65 % </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74.88%</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0"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车厢服务合格率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 85 % </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99.83%</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143" w:type="dxa"/>
            <w:gridSpan w:val="7"/>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02" w:hRule="atLeast"/>
        </w:trPr>
        <w:tc>
          <w:tcPr>
            <w:tcW w:w="1191"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8390" w:type="dxa"/>
            <w:gridSpan w:val="8"/>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bl>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tbl>
      <w:tblPr>
        <w:tblStyle w:val="11"/>
        <w:tblpPr w:leftFromText="180" w:rightFromText="180" w:vertAnchor="text" w:horzAnchor="page" w:tblpX="1174" w:tblpY="731"/>
        <w:tblOverlap w:val="never"/>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492"/>
        <w:gridCol w:w="979"/>
        <w:gridCol w:w="797"/>
        <w:gridCol w:w="856"/>
        <w:gridCol w:w="867"/>
        <w:gridCol w:w="813"/>
        <w:gridCol w:w="1126"/>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540" w:hRule="atLeast"/>
        </w:trPr>
        <w:tc>
          <w:tcPr>
            <w:tcW w:w="9736" w:type="dxa"/>
            <w:gridSpan w:val="8"/>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trPr>
        <w:tc>
          <w:tcPr>
            <w:tcW w:w="9736" w:type="dxa"/>
            <w:gridSpan w:val="8"/>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trPr>
        <w:tc>
          <w:tcPr>
            <w:tcW w:w="249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979"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97"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856"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867"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813"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126"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80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atLeast"/>
        </w:trPr>
        <w:tc>
          <w:tcPr>
            <w:tcW w:w="2492" w:type="dxa"/>
            <w:shd w:val="clear" w:color="auto" w:fill="auto"/>
            <w:vAlign w:val="center"/>
          </w:tcPr>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Style w:val="26"/>
                <w:rFonts w:eastAsia="宋体"/>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9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53" w:type="dxa"/>
            <w:gridSpan w:val="2"/>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12328交通服务监督电话经费（专项资金）</w:t>
            </w:r>
          </w:p>
        </w:tc>
        <w:tc>
          <w:tcPr>
            <w:tcW w:w="8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3745"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249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77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72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939"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797"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856"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867"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813"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12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18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97"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856"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67"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813"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2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18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97" w:type="dxa"/>
            <w:shd w:val="clear" w:color="auto" w:fill="auto"/>
            <w:vAlign w:val="center"/>
          </w:tcPr>
          <w:p>
            <w:pPr>
              <w:jc w:val="left"/>
              <w:rPr>
                <w:rFonts w:hint="default" w:ascii="Calibri" w:hAnsi="Calibri" w:eastAsia="宋体" w:cs="Calibri"/>
                <w:i w:val="0"/>
                <w:iCs w:val="0"/>
                <w:color w:val="000000"/>
                <w:sz w:val="20"/>
                <w:szCs w:val="20"/>
                <w:u w:val="none"/>
              </w:rPr>
            </w:pPr>
          </w:p>
        </w:tc>
        <w:tc>
          <w:tcPr>
            <w:tcW w:w="856"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67" w:type="dxa"/>
            <w:shd w:val="clear" w:color="auto" w:fill="auto"/>
            <w:vAlign w:val="center"/>
          </w:tcPr>
          <w:p>
            <w:pPr>
              <w:jc w:val="left"/>
              <w:rPr>
                <w:rFonts w:hint="eastAsia" w:ascii="宋体" w:hAnsi="宋体" w:eastAsia="宋体" w:cs="宋体"/>
                <w:i w:val="0"/>
                <w:iCs w:val="0"/>
                <w:color w:val="000000"/>
                <w:sz w:val="20"/>
                <w:szCs w:val="20"/>
                <w:u w:val="none"/>
              </w:rPr>
            </w:pPr>
          </w:p>
        </w:tc>
        <w:tc>
          <w:tcPr>
            <w:tcW w:w="813"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26" w:type="dxa"/>
            <w:shd w:val="clear" w:color="auto" w:fill="auto"/>
            <w:vAlign w:val="center"/>
          </w:tcPr>
          <w:p>
            <w:pPr>
              <w:jc w:val="left"/>
              <w:rPr>
                <w:rFonts w:hint="eastAsia" w:ascii="宋体" w:hAnsi="宋体" w:eastAsia="宋体" w:cs="宋体"/>
                <w:i w:val="0"/>
                <w:iCs w:val="0"/>
                <w:color w:val="000000"/>
                <w:sz w:val="20"/>
                <w:szCs w:val="20"/>
                <w:u w:val="none"/>
              </w:rPr>
            </w:pPr>
          </w:p>
        </w:tc>
        <w:tc>
          <w:tcPr>
            <w:tcW w:w="18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249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632"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806"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632" w:type="dxa"/>
            <w:gridSpan w:val="3"/>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建立服务规范和操作规程，加强对人员的培训与考核;提高人员业务素质，提供文明优质热线服务。</w:t>
            </w:r>
          </w:p>
        </w:tc>
        <w:tc>
          <w:tcPr>
            <w:tcW w:w="2806" w:type="dxa"/>
            <w:gridSpan w:val="3"/>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12328交通服务监督电话经费资金4.77万元已全部支付完成。</w:t>
            </w:r>
          </w:p>
        </w:tc>
        <w:tc>
          <w:tcPr>
            <w:tcW w:w="18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632" w:type="dxa"/>
            <w:gridSpan w:val="3"/>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806" w:type="dxa"/>
            <w:gridSpan w:val="3"/>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8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632" w:type="dxa"/>
            <w:gridSpan w:val="3"/>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806" w:type="dxa"/>
            <w:gridSpan w:val="3"/>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8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Style w:val="26"/>
                <w:rFonts w:eastAsia="宋体"/>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9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72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项目的数量</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工作质量</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显著提高</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显著提高</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项目资金的使用时间</w:t>
            </w:r>
          </w:p>
        </w:tc>
        <w:tc>
          <w:tcPr>
            <w:tcW w:w="813"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1126"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项目实际支出金额</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4.77万元</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4.77万元</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服务的改善程度</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热线用户对服务热线的满意度</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5438" w:type="dxa"/>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5" w:hRule="atLeast"/>
        </w:trPr>
        <w:tc>
          <w:tcPr>
            <w:tcW w:w="249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Style w:val="26"/>
                <w:rFonts w:eastAsia="宋体"/>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7244"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rPr>
          <w:rFonts w:hint="eastAsia" w:ascii="方正小标宋简体" w:hAnsi="方正小标宋简体" w:eastAsia="方正小标宋简体" w:cs="方正小标宋简体"/>
          <w:i w:val="0"/>
          <w:iCs w:val="0"/>
          <w:color w:val="000000"/>
          <w:kern w:val="0"/>
          <w:sz w:val="44"/>
          <w:szCs w:val="44"/>
          <w:u w:val="none"/>
          <w:lang w:val="en-US" w:eastAsia="zh-CN" w:bidi="ar"/>
        </w:rPr>
      </w:pPr>
    </w:p>
    <w:p>
      <w:pPr>
        <w:rPr>
          <w:rFonts w:hint="eastAsia" w:ascii="方正小标宋简体" w:hAnsi="方正小标宋简体" w:eastAsia="方正小标宋简体" w:cs="方正小标宋简体"/>
          <w:i w:val="0"/>
          <w:iCs w:val="0"/>
          <w:color w:val="000000"/>
          <w:kern w:val="0"/>
          <w:sz w:val="44"/>
          <w:szCs w:val="44"/>
          <w:u w:val="none"/>
          <w:lang w:val="en-US" w:eastAsia="zh-CN" w:bidi="ar"/>
        </w:rPr>
      </w:pPr>
    </w:p>
    <w:p>
      <w:pPr>
        <w:widowControl/>
        <w:spacing w:before="0" w:beforeLines="0" w:beforeAutospacing="0" w:after="0" w:afterLines="0" w:afterAutospacing="0" w:line="360" w:lineRule="auto"/>
        <w:ind w:firstLine="480" w:firstLineChars="200"/>
        <w:jc w:val="left"/>
        <w:rPr>
          <w:rFonts w:ascii="Times New Roman" w:eastAsia="仿宋_GB2312"/>
          <w:b/>
          <w:color w:val="0000FF"/>
          <w:sz w:val="32"/>
          <w:szCs w:val="32"/>
        </w:rPr>
      </w:pPr>
      <w:r>
        <w:drawing>
          <wp:inline distT="0" distB="0" distL="114300" distR="114300">
            <wp:extent cx="5560060" cy="6764655"/>
            <wp:effectExtent l="0" t="0" r="2540"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5560060" cy="6764655"/>
                    </a:xfrm>
                    <a:prstGeom prst="rect">
                      <a:avLst/>
                    </a:prstGeom>
                    <a:noFill/>
                    <a:ln>
                      <a:noFill/>
                    </a:ln>
                  </pic:spPr>
                </pic:pic>
              </a:graphicData>
            </a:graphic>
          </wp:inline>
        </w:drawing>
      </w:r>
      <w:r>
        <w:drawing>
          <wp:inline distT="0" distB="0" distL="114300" distR="114300">
            <wp:extent cx="5815330" cy="6941185"/>
            <wp:effectExtent l="0" t="0" r="13970"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7"/>
                    <a:stretch>
                      <a:fillRect/>
                    </a:stretch>
                  </pic:blipFill>
                  <pic:spPr>
                    <a:xfrm>
                      <a:off x="0" y="0"/>
                      <a:ext cx="5815330" cy="6941185"/>
                    </a:xfrm>
                    <a:prstGeom prst="rect">
                      <a:avLst/>
                    </a:prstGeom>
                    <a:noFill/>
                    <a:ln>
                      <a:noFill/>
                    </a:ln>
                  </pic:spPr>
                </pic:pic>
              </a:graphicData>
            </a:graphic>
          </wp:inline>
        </w:drawing>
      </w:r>
      <w:r>
        <w:drawing>
          <wp:inline distT="0" distB="0" distL="114300" distR="114300">
            <wp:extent cx="5779135" cy="8093075"/>
            <wp:effectExtent l="0" t="0" r="12065" b="31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8"/>
                    <a:stretch>
                      <a:fillRect/>
                    </a:stretch>
                  </pic:blipFill>
                  <pic:spPr>
                    <a:xfrm>
                      <a:off x="0" y="0"/>
                      <a:ext cx="5779135" cy="8093075"/>
                    </a:xfrm>
                    <a:prstGeom prst="rect">
                      <a:avLst/>
                    </a:prstGeom>
                    <a:noFill/>
                    <a:ln>
                      <a:noFill/>
                    </a:ln>
                  </pic:spPr>
                </pic:pic>
              </a:graphicData>
            </a:graphic>
          </wp:inline>
        </w:drawing>
      </w:r>
      <w:r>
        <w:rPr>
          <w:rFonts w:hint="eastAsia" w:ascii="Times New Roman" w:eastAsia="仿宋_GB2312"/>
          <w:sz w:val="32"/>
          <w:szCs w:val="32"/>
          <w:lang w:eastAsia="zh-CN"/>
        </w:rPr>
        <w:drawing>
          <wp:inline distT="0" distB="0" distL="114300" distR="114300">
            <wp:extent cx="5754370" cy="8025130"/>
            <wp:effectExtent l="0" t="0" r="17780" b="13970"/>
            <wp:docPr id="12" name="图片 12" descr="17575770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57577029957"/>
                    <pic:cNvPicPr>
                      <a:picLocks noChangeAspect="1"/>
                    </pic:cNvPicPr>
                  </pic:nvPicPr>
                  <pic:blipFill>
                    <a:blip r:embed="rId19"/>
                    <a:stretch>
                      <a:fillRect/>
                    </a:stretch>
                  </pic:blipFill>
                  <pic:spPr>
                    <a:xfrm>
                      <a:off x="0" y="0"/>
                      <a:ext cx="5754370" cy="8025130"/>
                    </a:xfrm>
                    <a:prstGeom prst="rect">
                      <a:avLst/>
                    </a:prstGeom>
                  </pic:spPr>
                </pic:pic>
              </a:graphicData>
            </a:graphic>
          </wp:inline>
        </w:drawing>
      </w:r>
      <w:r>
        <w:rPr>
          <w:rFonts w:hint="eastAsia" w:ascii="Times New Roman" w:eastAsia="仿宋_GB2312"/>
          <w:sz w:val="32"/>
          <w:szCs w:val="32"/>
          <w:lang w:eastAsia="zh-CN"/>
        </w:rPr>
        <w:drawing>
          <wp:inline distT="0" distB="0" distL="114300" distR="114300">
            <wp:extent cx="5758180" cy="7963535"/>
            <wp:effectExtent l="0" t="0" r="13970" b="18415"/>
            <wp:docPr id="14" name="图片 14" descr="175757714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57577144738"/>
                    <pic:cNvPicPr>
                      <a:picLocks noChangeAspect="1"/>
                    </pic:cNvPicPr>
                  </pic:nvPicPr>
                  <pic:blipFill>
                    <a:blip r:embed="rId20"/>
                    <a:stretch>
                      <a:fillRect/>
                    </a:stretch>
                  </pic:blipFill>
                  <pic:spPr>
                    <a:xfrm>
                      <a:off x="0" y="0"/>
                      <a:ext cx="5758180" cy="7963535"/>
                    </a:xfrm>
                    <a:prstGeom prst="rect">
                      <a:avLst/>
                    </a:prstGeom>
                  </pic:spPr>
                </pic:pic>
              </a:graphicData>
            </a:graphic>
          </wp:inline>
        </w:drawing>
      </w:r>
    </w:p>
    <w:tbl>
      <w:tblPr>
        <w:tblStyle w:val="11"/>
        <w:tblpPr w:leftFromText="180" w:rightFromText="180" w:vertAnchor="text" w:horzAnchor="page" w:tblpX="1637" w:tblpY="51"/>
        <w:tblOverlap w:val="never"/>
        <w:tblW w:w="9060" w:type="dxa"/>
        <w:tblInd w:w="0" w:type="dxa"/>
        <w:tblLayout w:type="fixed"/>
        <w:tblCellMar>
          <w:top w:w="0" w:type="dxa"/>
          <w:left w:w="108" w:type="dxa"/>
          <w:bottom w:w="0" w:type="dxa"/>
          <w:right w:w="108" w:type="dxa"/>
        </w:tblCellMar>
      </w:tblPr>
      <w:tblGrid>
        <w:gridCol w:w="1233"/>
        <w:gridCol w:w="1061"/>
        <w:gridCol w:w="889"/>
        <w:gridCol w:w="796"/>
        <w:gridCol w:w="1"/>
        <w:gridCol w:w="1867"/>
        <w:gridCol w:w="1"/>
        <w:gridCol w:w="775"/>
        <w:gridCol w:w="1"/>
        <w:gridCol w:w="1"/>
        <w:gridCol w:w="1036"/>
        <w:gridCol w:w="1399"/>
      </w:tblGrid>
      <w:tr>
        <w:tblPrEx>
          <w:tblLayout w:type="fixed"/>
          <w:tblCellMar>
            <w:top w:w="0" w:type="dxa"/>
            <w:left w:w="108" w:type="dxa"/>
            <w:bottom w:w="0" w:type="dxa"/>
            <w:right w:w="108" w:type="dxa"/>
          </w:tblCellMar>
        </w:tblPrEx>
        <w:trPr>
          <w:trHeight w:val="90" w:hRule="atLeast"/>
        </w:trPr>
        <w:tc>
          <w:tcPr>
            <w:tcW w:w="9060" w:type="dxa"/>
            <w:gridSpan w:val="12"/>
            <w:tcBorders>
              <w:top w:val="nil"/>
              <w:left w:val="nil"/>
              <w:bottom w:val="nil"/>
              <w:right w:val="nil"/>
            </w:tcBorders>
            <w:noWrap/>
            <w:vAlign w:val="center"/>
          </w:tcPr>
          <w:p>
            <w:pPr>
              <w:ind w:firstLine="2000" w:firstLineChars="500"/>
              <w:rPr>
                <w:rFonts w:ascii="方正小标宋_GBK" w:hAnsi="宋体" w:eastAsia="方正小标宋_GBK" w:cs="宋体"/>
                <w:color w:val="000000"/>
                <w:sz w:val="40"/>
                <w:szCs w:val="40"/>
              </w:rPr>
            </w:pPr>
            <w:r>
              <w:rPr>
                <w:rFonts w:hint="eastAsia" w:ascii="方正小标宋_GBK" w:hAnsi="宋体" w:eastAsia="方正小标宋_GBK" w:cs="宋体"/>
                <w:color w:val="000000"/>
                <w:sz w:val="40"/>
                <w:szCs w:val="40"/>
              </w:rPr>
              <w:t>市级单位预算项目绩效自评表</w:t>
            </w:r>
          </w:p>
        </w:tc>
      </w:tr>
      <w:tr>
        <w:tblPrEx>
          <w:tblLayout w:type="fixed"/>
          <w:tblCellMar>
            <w:top w:w="0" w:type="dxa"/>
            <w:left w:w="108" w:type="dxa"/>
            <w:bottom w:w="0" w:type="dxa"/>
            <w:right w:w="108" w:type="dxa"/>
          </w:tblCellMar>
        </w:tblPrEx>
        <w:trPr>
          <w:trHeight w:val="90" w:hRule="atLeast"/>
        </w:trPr>
        <w:tc>
          <w:tcPr>
            <w:tcW w:w="9060" w:type="dxa"/>
            <w:gridSpan w:val="12"/>
            <w:tcBorders>
              <w:top w:val="nil"/>
              <w:left w:val="nil"/>
              <w:bottom w:val="nil"/>
              <w:right w:val="nil"/>
            </w:tcBorders>
            <w:noWrap/>
            <w:vAlign w:val="bottom"/>
          </w:tcPr>
          <w:p>
            <w:pPr>
              <w:jc w:val="center"/>
              <w:rPr>
                <w:rFonts w:ascii="宋体" w:hAnsi="宋体" w:cs="宋体"/>
                <w:color w:val="000000"/>
                <w:sz w:val="20"/>
                <w:szCs w:val="20"/>
              </w:rPr>
            </w:pPr>
            <w:r>
              <w:rPr>
                <w:rFonts w:hint="eastAsia" w:ascii="宋体" w:hAnsi="宋体" w:cs="宋体"/>
                <w:color w:val="000000"/>
                <w:sz w:val="20"/>
                <w:szCs w:val="20"/>
              </w:rPr>
              <w:t>（202</w:t>
            </w:r>
            <w:r>
              <w:rPr>
                <w:rFonts w:hint="eastAsia" w:ascii="宋体" w:hAnsi="宋体" w:cs="宋体"/>
                <w:color w:val="000000"/>
                <w:sz w:val="20"/>
                <w:szCs w:val="20"/>
                <w:lang w:val="en-US" w:eastAsia="zh-CN"/>
              </w:rPr>
              <w:t>4</w:t>
            </w:r>
            <w:r>
              <w:rPr>
                <w:rFonts w:hint="eastAsia" w:ascii="宋体" w:hAnsi="宋体" w:cs="宋体"/>
                <w:color w:val="000000"/>
                <w:sz w:val="20"/>
                <w:szCs w:val="20"/>
              </w:rPr>
              <w:t>年度）</w:t>
            </w:r>
          </w:p>
        </w:tc>
      </w:tr>
      <w:tr>
        <w:tblPrEx>
          <w:tblLayout w:type="fixed"/>
          <w:tblCellMar>
            <w:top w:w="0" w:type="dxa"/>
            <w:left w:w="108" w:type="dxa"/>
            <w:bottom w:w="0" w:type="dxa"/>
            <w:right w:w="108" w:type="dxa"/>
          </w:tblCellMar>
        </w:tblPrEx>
        <w:trPr>
          <w:trHeight w:val="90" w:hRule="atLeast"/>
        </w:trPr>
        <w:tc>
          <w:tcPr>
            <w:tcW w:w="3979" w:type="dxa"/>
            <w:gridSpan w:val="4"/>
            <w:tcBorders>
              <w:top w:val="nil"/>
              <w:left w:val="nil"/>
              <w:bottom w:val="nil"/>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填报单位：石家庄市公路工程质量安全站</w:t>
            </w:r>
          </w:p>
        </w:tc>
        <w:tc>
          <w:tcPr>
            <w:tcW w:w="1868" w:type="dxa"/>
            <w:gridSpan w:val="2"/>
            <w:tcBorders>
              <w:top w:val="nil"/>
              <w:left w:val="nil"/>
              <w:bottom w:val="nil"/>
              <w:right w:val="nil"/>
            </w:tcBorders>
            <w:noWrap/>
            <w:vAlign w:val="center"/>
          </w:tcPr>
          <w:p>
            <w:pPr>
              <w:jc w:val="center"/>
              <w:rPr>
                <w:rFonts w:hint="eastAsia" w:ascii="宋体" w:hAnsi="宋体" w:cs="宋体"/>
                <w:color w:val="000000"/>
                <w:sz w:val="16"/>
                <w:szCs w:val="16"/>
              </w:rPr>
            </w:pPr>
          </w:p>
        </w:tc>
        <w:tc>
          <w:tcPr>
            <w:tcW w:w="778" w:type="dxa"/>
            <w:gridSpan w:val="4"/>
            <w:tcBorders>
              <w:top w:val="nil"/>
              <w:left w:val="nil"/>
              <w:bottom w:val="nil"/>
              <w:right w:val="nil"/>
            </w:tcBorders>
            <w:noWrap/>
            <w:vAlign w:val="center"/>
          </w:tcPr>
          <w:p>
            <w:pPr>
              <w:jc w:val="center"/>
              <w:rPr>
                <w:rFonts w:hint="eastAsia" w:ascii="宋体" w:hAnsi="宋体" w:cs="宋体"/>
                <w:color w:val="000000"/>
                <w:sz w:val="16"/>
                <w:szCs w:val="16"/>
              </w:rPr>
            </w:pPr>
          </w:p>
        </w:tc>
        <w:tc>
          <w:tcPr>
            <w:tcW w:w="1036" w:type="dxa"/>
            <w:tcBorders>
              <w:top w:val="nil"/>
              <w:left w:val="nil"/>
              <w:bottom w:val="nil"/>
              <w:right w:val="nil"/>
            </w:tcBorders>
            <w:noWrap/>
            <w:vAlign w:val="center"/>
          </w:tcPr>
          <w:p>
            <w:pPr>
              <w:jc w:val="center"/>
              <w:rPr>
                <w:rFonts w:hint="eastAsia" w:ascii="宋体" w:hAnsi="宋体" w:cs="宋体"/>
                <w:color w:val="000000"/>
                <w:sz w:val="16"/>
                <w:szCs w:val="16"/>
              </w:rPr>
            </w:pPr>
          </w:p>
        </w:tc>
        <w:tc>
          <w:tcPr>
            <w:tcW w:w="1399" w:type="dxa"/>
            <w:tcBorders>
              <w:top w:val="nil"/>
              <w:left w:val="nil"/>
              <w:bottom w:val="nil"/>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金额单位：万元</w:t>
            </w:r>
          </w:p>
        </w:tc>
      </w:tr>
      <w:tr>
        <w:tblPrEx>
          <w:tblLayout w:type="fixed"/>
          <w:tblCellMar>
            <w:top w:w="0" w:type="dxa"/>
            <w:left w:w="108" w:type="dxa"/>
            <w:bottom w:w="0" w:type="dxa"/>
            <w:right w:w="108" w:type="dxa"/>
          </w:tblCellMar>
        </w:tblPrEx>
        <w:trPr>
          <w:trHeight w:val="90" w:hRule="atLeast"/>
        </w:trPr>
        <w:tc>
          <w:tcPr>
            <w:tcW w:w="1233" w:type="dxa"/>
            <w:tcBorders>
              <w:top w:val="single" w:color="000000" w:sz="4" w:space="0"/>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一、 基本情况</w:t>
            </w:r>
          </w:p>
        </w:tc>
        <w:tc>
          <w:tcPr>
            <w:tcW w:w="1061" w:type="dxa"/>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项目名称</w:t>
            </w:r>
          </w:p>
        </w:tc>
        <w:tc>
          <w:tcPr>
            <w:tcW w:w="1685" w:type="dxa"/>
            <w:gridSpan w:val="2"/>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质量监督管理工作中的检测经费</w:t>
            </w:r>
          </w:p>
        </w:tc>
        <w:tc>
          <w:tcPr>
            <w:tcW w:w="1868" w:type="dxa"/>
            <w:gridSpan w:val="2"/>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实施(主管）单位</w:t>
            </w:r>
          </w:p>
        </w:tc>
        <w:tc>
          <w:tcPr>
            <w:tcW w:w="3213" w:type="dxa"/>
            <w:gridSpan w:val="6"/>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石家庄市公路工程质量安全站</w:t>
            </w:r>
          </w:p>
        </w:tc>
      </w:tr>
      <w:tr>
        <w:tblPrEx>
          <w:tblLayout w:type="fixed"/>
          <w:tblCellMar>
            <w:top w:w="0" w:type="dxa"/>
            <w:left w:w="108" w:type="dxa"/>
            <w:bottom w:w="0" w:type="dxa"/>
            <w:right w:w="108" w:type="dxa"/>
          </w:tblCellMar>
        </w:tblPrEx>
        <w:trPr>
          <w:trHeight w:val="90" w:hRule="atLeast"/>
        </w:trPr>
        <w:tc>
          <w:tcPr>
            <w:tcW w:w="1233"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二、预算执行情况</w:t>
            </w:r>
          </w:p>
        </w:tc>
        <w:tc>
          <w:tcPr>
            <w:tcW w:w="1950" w:type="dxa"/>
            <w:gridSpan w:val="2"/>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预算安排情况（调整后）</w:t>
            </w:r>
          </w:p>
        </w:tc>
        <w:tc>
          <w:tcPr>
            <w:tcW w:w="2664" w:type="dxa"/>
            <w:gridSpan w:val="3"/>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资金到位情况</w:t>
            </w:r>
          </w:p>
        </w:tc>
        <w:tc>
          <w:tcPr>
            <w:tcW w:w="1814" w:type="dxa"/>
            <w:gridSpan w:val="5"/>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资金执行情况</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预算执行进度</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1061"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预算数：</w:t>
            </w:r>
          </w:p>
        </w:tc>
        <w:tc>
          <w:tcPr>
            <w:tcW w:w="889" w:type="dxa"/>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79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到位数：</w:t>
            </w:r>
          </w:p>
        </w:tc>
        <w:tc>
          <w:tcPr>
            <w:tcW w:w="1867" w:type="dxa"/>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776"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执行数：</w:t>
            </w:r>
          </w:p>
        </w:tc>
        <w:tc>
          <w:tcPr>
            <w:tcW w:w="1038" w:type="dxa"/>
            <w:gridSpan w:val="3"/>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600.00</w:t>
            </w:r>
          </w:p>
        </w:tc>
        <w:tc>
          <w:tcPr>
            <w:tcW w:w="1399" w:type="dxa"/>
            <w:vMerge w:val="restart"/>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1061"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其中：财政资金</w:t>
            </w:r>
          </w:p>
        </w:tc>
        <w:tc>
          <w:tcPr>
            <w:tcW w:w="889" w:type="dxa"/>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79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其中：财政资金</w:t>
            </w:r>
          </w:p>
        </w:tc>
        <w:tc>
          <w:tcPr>
            <w:tcW w:w="1867" w:type="dxa"/>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776"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其中：财政资金</w:t>
            </w:r>
          </w:p>
        </w:tc>
        <w:tc>
          <w:tcPr>
            <w:tcW w:w="1038" w:type="dxa"/>
            <w:gridSpan w:val="3"/>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600.00</w:t>
            </w:r>
          </w:p>
        </w:tc>
        <w:tc>
          <w:tcPr>
            <w:tcW w:w="139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r>
      <w:tr>
        <w:tblPrEx>
          <w:tblLayout w:type="fixed"/>
          <w:tblCellMar>
            <w:top w:w="0" w:type="dxa"/>
            <w:left w:w="108" w:type="dxa"/>
            <w:bottom w:w="0" w:type="dxa"/>
            <w:right w:w="108" w:type="dxa"/>
          </w:tblCellMar>
        </w:tblPrEx>
        <w:trPr>
          <w:trHeight w:val="90" w:hRule="atLeast"/>
        </w:trPr>
        <w:tc>
          <w:tcPr>
            <w:tcW w:w="123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1061"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其他</w:t>
            </w:r>
          </w:p>
        </w:tc>
        <w:tc>
          <w:tcPr>
            <w:tcW w:w="88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0</w:t>
            </w:r>
          </w:p>
        </w:tc>
        <w:tc>
          <w:tcPr>
            <w:tcW w:w="79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其他</w:t>
            </w:r>
          </w:p>
        </w:tc>
        <w:tc>
          <w:tcPr>
            <w:tcW w:w="1867"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0</w:t>
            </w:r>
          </w:p>
        </w:tc>
        <w:tc>
          <w:tcPr>
            <w:tcW w:w="776"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其他</w:t>
            </w:r>
          </w:p>
        </w:tc>
        <w:tc>
          <w:tcPr>
            <w:tcW w:w="1038" w:type="dxa"/>
            <w:gridSpan w:val="3"/>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0</w:t>
            </w:r>
          </w:p>
        </w:tc>
        <w:tc>
          <w:tcPr>
            <w:tcW w:w="139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r>
      <w:tr>
        <w:tblPrEx>
          <w:tblLayout w:type="fixed"/>
          <w:tblCellMar>
            <w:top w:w="0" w:type="dxa"/>
            <w:left w:w="108" w:type="dxa"/>
            <w:bottom w:w="0" w:type="dxa"/>
            <w:right w:w="108" w:type="dxa"/>
          </w:tblCellMar>
        </w:tblPrEx>
        <w:trPr>
          <w:trHeight w:val="90" w:hRule="atLeast"/>
        </w:trPr>
        <w:tc>
          <w:tcPr>
            <w:tcW w:w="1233" w:type="dxa"/>
            <w:vMerge w:val="restart"/>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三、目标完成情况</w:t>
            </w:r>
          </w:p>
        </w:tc>
        <w:tc>
          <w:tcPr>
            <w:tcW w:w="2747" w:type="dxa"/>
            <w:gridSpan w:val="4"/>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年度预期目标</w:t>
            </w:r>
          </w:p>
        </w:tc>
        <w:tc>
          <w:tcPr>
            <w:tcW w:w="3681" w:type="dxa"/>
            <w:gridSpan w:val="6"/>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具体完成情况</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总体完成率</w:t>
            </w:r>
          </w:p>
        </w:tc>
      </w:tr>
      <w:tr>
        <w:tblPrEx>
          <w:tblLayout w:type="fixed"/>
          <w:tblCellMar>
            <w:top w:w="0" w:type="dxa"/>
            <w:left w:w="108" w:type="dxa"/>
            <w:bottom w:w="0" w:type="dxa"/>
            <w:right w:w="108" w:type="dxa"/>
          </w:tblCellMar>
        </w:tblPrEx>
        <w:trPr>
          <w:trHeight w:val="312" w:hRule="atLeast"/>
        </w:trPr>
        <w:tc>
          <w:tcPr>
            <w:tcW w:w="1233"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2747" w:type="dxa"/>
            <w:gridSpan w:val="4"/>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通过完成这项费用，能够保障单位对受理监督的公路建设项目正常开展交工核验检测工作；能够保障我单位有关业务科室完成年度农村公路质量监督检查等工作任务。</w:t>
            </w:r>
          </w:p>
        </w:tc>
        <w:tc>
          <w:tcPr>
            <w:tcW w:w="3681" w:type="dxa"/>
            <w:gridSpan w:val="6"/>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已完成</w:t>
            </w: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c>
          <w:tcPr>
            <w:tcW w:w="1399" w:type="dxa"/>
            <w:vMerge w:val="restart"/>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r>
      <w:tr>
        <w:tblPrEx>
          <w:tblLayout w:type="fixed"/>
          <w:tblCellMar>
            <w:top w:w="0" w:type="dxa"/>
            <w:left w:w="108" w:type="dxa"/>
            <w:bottom w:w="0" w:type="dxa"/>
            <w:right w:w="108" w:type="dxa"/>
          </w:tblCellMar>
        </w:tblPrEx>
        <w:trPr>
          <w:trHeight w:val="312" w:hRule="atLeast"/>
        </w:trPr>
        <w:tc>
          <w:tcPr>
            <w:tcW w:w="1233"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2747" w:type="dxa"/>
            <w:gridSpan w:val="4"/>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3681" w:type="dxa"/>
            <w:gridSpan w:val="6"/>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139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r>
      <w:tr>
        <w:tblPrEx>
          <w:tblLayout w:type="fixed"/>
          <w:tblCellMar>
            <w:top w:w="0" w:type="dxa"/>
            <w:left w:w="108" w:type="dxa"/>
            <w:bottom w:w="0" w:type="dxa"/>
            <w:right w:w="108" w:type="dxa"/>
          </w:tblCellMar>
        </w:tblPrEx>
        <w:trPr>
          <w:trHeight w:val="312" w:hRule="atLeast"/>
        </w:trPr>
        <w:tc>
          <w:tcPr>
            <w:tcW w:w="1233"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2747" w:type="dxa"/>
            <w:gridSpan w:val="4"/>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3681" w:type="dxa"/>
            <w:gridSpan w:val="6"/>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139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r>
      <w:tr>
        <w:tblPrEx>
          <w:tblLayout w:type="fixed"/>
          <w:tblCellMar>
            <w:top w:w="0" w:type="dxa"/>
            <w:left w:w="108" w:type="dxa"/>
            <w:bottom w:w="0" w:type="dxa"/>
            <w:right w:w="108" w:type="dxa"/>
          </w:tblCellMar>
        </w:tblPrEx>
        <w:trPr>
          <w:trHeight w:val="90" w:hRule="atLeast"/>
        </w:trPr>
        <w:tc>
          <w:tcPr>
            <w:tcW w:w="1233" w:type="dxa"/>
            <w:vMerge w:val="restart"/>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四、年度绩效指标完成情况</w:t>
            </w:r>
          </w:p>
        </w:tc>
        <w:tc>
          <w:tcPr>
            <w:tcW w:w="1061"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一级指标</w:t>
            </w:r>
          </w:p>
        </w:tc>
        <w:tc>
          <w:tcPr>
            <w:tcW w:w="88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二级指标</w:t>
            </w:r>
          </w:p>
        </w:tc>
        <w:tc>
          <w:tcPr>
            <w:tcW w:w="2665" w:type="dxa"/>
            <w:gridSpan w:val="4"/>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三级指标</w:t>
            </w:r>
          </w:p>
        </w:tc>
        <w:tc>
          <w:tcPr>
            <w:tcW w:w="776"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预期指标值</w:t>
            </w:r>
          </w:p>
        </w:tc>
        <w:tc>
          <w:tcPr>
            <w:tcW w:w="103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实际完成值</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自评得分</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vMerge w:val="restart"/>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产出指标（40分）</w:t>
            </w:r>
          </w:p>
        </w:tc>
        <w:tc>
          <w:tcPr>
            <w:tcW w:w="889" w:type="dxa"/>
            <w:vMerge w:val="restart"/>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数量指标</w:t>
            </w:r>
          </w:p>
        </w:tc>
        <w:tc>
          <w:tcPr>
            <w:tcW w:w="2665" w:type="dxa"/>
            <w:gridSpan w:val="4"/>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实际交竣工核验项目完成公里数量（5分）</w:t>
            </w:r>
          </w:p>
        </w:tc>
        <w:tc>
          <w:tcPr>
            <w:tcW w:w="776" w:type="dxa"/>
            <w:gridSpan w:val="2"/>
            <w:tcBorders>
              <w:top w:val="nil"/>
              <w:left w:val="nil"/>
              <w:bottom w:val="single" w:color="000000" w:sz="4" w:space="0"/>
              <w:right w:val="single" w:color="000000" w:sz="4" w:space="0"/>
            </w:tcBorders>
            <w:noWrap/>
            <w:vAlign w:val="center"/>
          </w:tcPr>
          <w:p>
            <w:pPr>
              <w:jc w:val="center"/>
              <w:rPr>
                <w:rFonts w:hint="default" w:ascii="宋体" w:hAnsi="宋体" w:cs="宋体" w:eastAsiaTheme="minorEastAsia"/>
                <w:color w:val="000000"/>
                <w:sz w:val="16"/>
                <w:szCs w:val="16"/>
                <w:lang w:val="en-US" w:eastAsia="zh-CN"/>
              </w:rPr>
            </w:pPr>
            <w:r>
              <w:rPr>
                <w:rFonts w:hint="eastAsia" w:ascii="宋体" w:hAnsi="宋体" w:cs="宋体"/>
                <w:color w:val="000000"/>
                <w:sz w:val="16"/>
                <w:szCs w:val="16"/>
              </w:rPr>
              <w:t>≧</w:t>
            </w:r>
            <w:r>
              <w:rPr>
                <w:rFonts w:hint="eastAsia" w:ascii="宋体" w:hAnsi="宋体" w:cs="宋体"/>
                <w:color w:val="000000"/>
                <w:sz w:val="16"/>
                <w:szCs w:val="16"/>
                <w:lang w:val="en-US" w:eastAsia="zh-CN"/>
              </w:rPr>
              <w:t>673.15公里</w:t>
            </w:r>
          </w:p>
        </w:tc>
        <w:tc>
          <w:tcPr>
            <w:tcW w:w="103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5</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vMerge w:val="continue"/>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p>
        </w:tc>
        <w:tc>
          <w:tcPr>
            <w:tcW w:w="88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2665" w:type="dxa"/>
            <w:gridSpan w:val="4"/>
            <w:tcBorders>
              <w:top w:val="single" w:color="000000" w:sz="4" w:space="0"/>
              <w:left w:val="single" w:color="000000" w:sz="4" w:space="0"/>
              <w:bottom w:val="single" w:color="auto"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农村公路监督检查公里数（5分）</w:t>
            </w:r>
          </w:p>
        </w:tc>
        <w:tc>
          <w:tcPr>
            <w:tcW w:w="776" w:type="dxa"/>
            <w:gridSpan w:val="2"/>
            <w:tcBorders>
              <w:top w:val="nil"/>
              <w:left w:val="nil"/>
              <w:bottom w:val="single" w:color="auto" w:sz="4" w:space="0"/>
              <w:right w:val="single" w:color="000000" w:sz="4" w:space="0"/>
            </w:tcBorders>
            <w:noWrap/>
            <w:vAlign w:val="center"/>
          </w:tcPr>
          <w:p>
            <w:pPr>
              <w:jc w:val="center"/>
              <w:rPr>
                <w:rFonts w:hint="default" w:ascii="宋体" w:hAnsi="宋体" w:cs="宋体" w:eastAsiaTheme="minorEastAsia"/>
                <w:color w:val="000000"/>
                <w:sz w:val="16"/>
                <w:szCs w:val="16"/>
                <w:lang w:val="en-US" w:eastAsia="zh-CN"/>
              </w:rPr>
            </w:pPr>
            <w:r>
              <w:rPr>
                <w:rFonts w:hint="eastAsia" w:ascii="宋体" w:hAnsi="宋体" w:cs="宋体"/>
                <w:color w:val="000000"/>
                <w:sz w:val="16"/>
                <w:szCs w:val="16"/>
                <w:lang w:val="en-US" w:eastAsia="zh-CN"/>
              </w:rPr>
              <w:t>=34公里</w:t>
            </w:r>
          </w:p>
        </w:tc>
        <w:tc>
          <w:tcPr>
            <w:tcW w:w="1037" w:type="dxa"/>
            <w:gridSpan w:val="2"/>
            <w:tcBorders>
              <w:top w:val="nil"/>
              <w:left w:val="nil"/>
              <w:bottom w:val="single" w:color="auto"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nil"/>
              <w:left w:val="nil"/>
              <w:bottom w:val="single" w:color="auto"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5</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vMerge w:val="continue"/>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p>
        </w:tc>
        <w:tc>
          <w:tcPr>
            <w:tcW w:w="889"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质量指标</w:t>
            </w:r>
          </w:p>
        </w:tc>
        <w:tc>
          <w:tcPr>
            <w:tcW w:w="2665" w:type="dxa"/>
            <w:gridSpan w:val="4"/>
            <w:tcBorders>
              <w:top w:val="single" w:color="auto"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质量监督检查工作完成率（10分）</w:t>
            </w:r>
          </w:p>
        </w:tc>
        <w:tc>
          <w:tcPr>
            <w:tcW w:w="776" w:type="dxa"/>
            <w:gridSpan w:val="2"/>
            <w:tcBorders>
              <w:top w:val="single" w:color="auto"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w:t>
            </w:r>
            <w:r>
              <w:rPr>
                <w:rFonts w:hint="eastAsia" w:ascii="宋体" w:hAnsi="宋体" w:cs="宋体"/>
                <w:color w:val="000000"/>
                <w:sz w:val="16"/>
                <w:szCs w:val="16"/>
                <w:lang w:val="en-US" w:eastAsia="zh-CN"/>
              </w:rPr>
              <w:t>90</w:t>
            </w:r>
            <w:r>
              <w:rPr>
                <w:rFonts w:hint="eastAsia" w:ascii="宋体" w:hAnsi="宋体" w:cs="宋体"/>
                <w:color w:val="000000"/>
                <w:sz w:val="16"/>
                <w:szCs w:val="16"/>
              </w:rPr>
              <w:t>.0%</w:t>
            </w:r>
          </w:p>
        </w:tc>
        <w:tc>
          <w:tcPr>
            <w:tcW w:w="1037" w:type="dxa"/>
            <w:gridSpan w:val="2"/>
            <w:tcBorders>
              <w:top w:val="single" w:color="auto" w:sz="4" w:space="0"/>
              <w:left w:val="nil"/>
              <w:bottom w:val="single" w:color="auto"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single" w:color="auto" w:sz="4" w:space="0"/>
              <w:left w:val="nil"/>
              <w:bottom w:val="single" w:color="auto"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vMerge w:val="continue"/>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p>
        </w:tc>
        <w:tc>
          <w:tcPr>
            <w:tcW w:w="889"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时效指标</w:t>
            </w:r>
          </w:p>
        </w:tc>
        <w:tc>
          <w:tcPr>
            <w:tcW w:w="2665" w:type="dxa"/>
            <w:gridSpan w:val="4"/>
            <w:tcBorders>
              <w:top w:val="single" w:color="000000" w:sz="4" w:space="0"/>
              <w:left w:val="nil"/>
              <w:bottom w:val="single" w:color="000000" w:sz="4" w:space="0"/>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检测报告提交及时率（10分）</w:t>
            </w:r>
          </w:p>
        </w:tc>
        <w:tc>
          <w:tcPr>
            <w:tcW w:w="776" w:type="dxa"/>
            <w:gridSpan w:val="2"/>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w:t>
            </w:r>
            <w:r>
              <w:rPr>
                <w:rFonts w:hint="eastAsia" w:ascii="宋体" w:hAnsi="宋体" w:cs="宋体"/>
                <w:color w:val="000000"/>
                <w:sz w:val="16"/>
                <w:szCs w:val="16"/>
                <w:lang w:val="en-US" w:eastAsia="zh-CN"/>
              </w:rPr>
              <w:t>9</w:t>
            </w:r>
            <w:r>
              <w:rPr>
                <w:rFonts w:hint="eastAsia" w:ascii="宋体" w:hAnsi="宋体" w:cs="宋体"/>
                <w:color w:val="000000"/>
                <w:sz w:val="16"/>
                <w:szCs w:val="16"/>
              </w:rPr>
              <w:t>5.0%</w:t>
            </w:r>
          </w:p>
        </w:tc>
        <w:tc>
          <w:tcPr>
            <w:tcW w:w="1037" w:type="dxa"/>
            <w:gridSpan w:val="2"/>
            <w:tcBorders>
              <w:top w:val="single" w:color="auto" w:sz="4" w:space="0"/>
              <w:left w:val="nil"/>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single" w:color="auto" w:sz="4" w:space="0"/>
              <w:left w:val="nil"/>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vMerge w:val="continue"/>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p>
        </w:tc>
        <w:tc>
          <w:tcPr>
            <w:tcW w:w="889"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成本指标</w:t>
            </w:r>
          </w:p>
        </w:tc>
        <w:tc>
          <w:tcPr>
            <w:tcW w:w="2665" w:type="dxa"/>
            <w:gridSpan w:val="4"/>
            <w:tcBorders>
              <w:top w:val="single" w:color="000000" w:sz="4" w:space="0"/>
              <w:left w:val="nil"/>
              <w:bottom w:val="single" w:color="000000" w:sz="4" w:space="0"/>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项目控制</w:t>
            </w:r>
            <w:r>
              <w:rPr>
                <w:rFonts w:hint="eastAsia" w:ascii="宋体" w:hAnsi="宋体" w:cs="宋体"/>
                <w:color w:val="000000"/>
                <w:sz w:val="16"/>
                <w:szCs w:val="16"/>
                <w:lang w:val="en-US" w:eastAsia="zh-CN"/>
              </w:rPr>
              <w:t>总成本</w:t>
            </w:r>
            <w:r>
              <w:rPr>
                <w:rFonts w:hint="eastAsia" w:ascii="宋体" w:hAnsi="宋体" w:cs="宋体"/>
                <w:color w:val="000000"/>
                <w:sz w:val="16"/>
                <w:szCs w:val="16"/>
              </w:rPr>
              <w:t>（10分）</w:t>
            </w:r>
          </w:p>
        </w:tc>
        <w:tc>
          <w:tcPr>
            <w:tcW w:w="776" w:type="dxa"/>
            <w:gridSpan w:val="2"/>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w:t>
            </w: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w:t>
            </w:r>
            <w:r>
              <w:rPr>
                <w:rFonts w:hint="eastAsia" w:ascii="宋体" w:hAnsi="宋体" w:cs="宋体"/>
                <w:color w:val="000000"/>
                <w:sz w:val="16"/>
                <w:szCs w:val="16"/>
              </w:rPr>
              <w:t>万元</w:t>
            </w:r>
          </w:p>
        </w:tc>
        <w:tc>
          <w:tcPr>
            <w:tcW w:w="1037" w:type="dxa"/>
            <w:gridSpan w:val="2"/>
            <w:tcBorders>
              <w:top w:val="nil"/>
              <w:left w:val="nil"/>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nil"/>
              <w:left w:val="nil"/>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预算执行率指标（10分）</w:t>
            </w:r>
          </w:p>
        </w:tc>
        <w:tc>
          <w:tcPr>
            <w:tcW w:w="88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预算执行率</w:t>
            </w:r>
          </w:p>
        </w:tc>
        <w:tc>
          <w:tcPr>
            <w:tcW w:w="2665" w:type="dxa"/>
            <w:gridSpan w:val="4"/>
            <w:tcBorders>
              <w:top w:val="single" w:color="000000" w:sz="4" w:space="0"/>
              <w:left w:val="nil"/>
              <w:bottom w:val="single" w:color="000000" w:sz="4" w:space="0"/>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预算支出进度符合性（10分）</w:t>
            </w:r>
          </w:p>
        </w:tc>
        <w:tc>
          <w:tcPr>
            <w:tcW w:w="776" w:type="dxa"/>
            <w:gridSpan w:val="2"/>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037" w:type="dxa"/>
            <w:gridSpan w:val="2"/>
            <w:tcBorders>
              <w:top w:val="nil"/>
              <w:left w:val="nil"/>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c>
          <w:tcPr>
            <w:tcW w:w="1399" w:type="dxa"/>
            <w:tcBorders>
              <w:top w:val="nil"/>
              <w:left w:val="nil"/>
              <w:bottom w:val="single" w:color="auto" w:sz="4" w:space="0"/>
              <w:right w:val="single" w:color="auto"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效益指标（40分）</w:t>
            </w:r>
          </w:p>
        </w:tc>
        <w:tc>
          <w:tcPr>
            <w:tcW w:w="88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社会效益指标</w:t>
            </w:r>
          </w:p>
        </w:tc>
        <w:tc>
          <w:tcPr>
            <w:tcW w:w="2665" w:type="dxa"/>
            <w:gridSpan w:val="4"/>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公路工程质量提升</w:t>
            </w:r>
            <w:r>
              <w:rPr>
                <w:rFonts w:hint="eastAsia" w:ascii="宋体" w:hAnsi="宋体" w:cs="宋体"/>
                <w:color w:val="000000"/>
                <w:sz w:val="16"/>
                <w:szCs w:val="16"/>
                <w:lang w:val="en-US" w:eastAsia="zh-CN"/>
              </w:rPr>
              <w:t>度</w:t>
            </w:r>
            <w:r>
              <w:rPr>
                <w:rFonts w:hint="eastAsia" w:ascii="宋体" w:hAnsi="宋体" w:cs="宋体"/>
                <w:color w:val="000000"/>
                <w:sz w:val="16"/>
                <w:szCs w:val="16"/>
              </w:rPr>
              <w:t>（40分）</w:t>
            </w:r>
          </w:p>
        </w:tc>
        <w:tc>
          <w:tcPr>
            <w:tcW w:w="776" w:type="dxa"/>
            <w:gridSpan w:val="2"/>
            <w:tcBorders>
              <w:top w:val="nil"/>
              <w:left w:val="nil"/>
              <w:bottom w:val="single" w:color="000000" w:sz="4" w:space="0"/>
              <w:right w:val="single" w:color="000000" w:sz="4" w:space="0"/>
            </w:tcBorders>
            <w:noWrap/>
            <w:vAlign w:val="center"/>
          </w:tcPr>
          <w:p>
            <w:pPr>
              <w:jc w:val="center"/>
              <w:rPr>
                <w:rFonts w:hint="default" w:ascii="宋体" w:hAnsi="宋体" w:cs="宋体" w:eastAsiaTheme="minorEastAsia"/>
                <w:color w:val="000000"/>
                <w:sz w:val="16"/>
                <w:szCs w:val="16"/>
                <w:lang w:val="en-US" w:eastAsia="zh-CN"/>
              </w:rPr>
            </w:pPr>
            <w:r>
              <w:rPr>
                <w:rFonts w:hint="eastAsia" w:ascii="宋体" w:hAnsi="宋体" w:cs="宋体"/>
                <w:color w:val="000000"/>
                <w:sz w:val="16"/>
                <w:szCs w:val="16"/>
                <w:lang w:val="en-US" w:eastAsia="zh-CN"/>
              </w:rPr>
              <w:t>100%</w:t>
            </w:r>
          </w:p>
        </w:tc>
        <w:tc>
          <w:tcPr>
            <w:tcW w:w="103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eastAsiaTheme="minorEastAsia"/>
                <w:color w:val="000000"/>
                <w:sz w:val="16"/>
                <w:szCs w:val="16"/>
                <w:lang w:val="en-US" w:eastAsia="zh-CN"/>
              </w:rPr>
            </w:pPr>
            <w:r>
              <w:rPr>
                <w:rFonts w:hint="eastAsia" w:ascii="宋体" w:hAnsi="宋体" w:cs="宋体"/>
                <w:color w:val="000000"/>
                <w:sz w:val="16"/>
                <w:szCs w:val="16"/>
              </w:rPr>
              <w:t>100</w:t>
            </w:r>
            <w:r>
              <w:rPr>
                <w:rFonts w:hint="eastAsia" w:ascii="宋体" w:hAnsi="宋体" w:cs="宋体"/>
                <w:color w:val="000000"/>
                <w:sz w:val="16"/>
                <w:szCs w:val="16"/>
                <w:lang w:val="en-US" w:eastAsia="zh-CN"/>
              </w:rPr>
              <w:t>%</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40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满意度指标</w:t>
            </w:r>
          </w:p>
          <w:p>
            <w:pPr>
              <w:jc w:val="center"/>
              <w:rPr>
                <w:rFonts w:hint="eastAsia" w:ascii="宋体" w:hAnsi="宋体" w:cs="宋体"/>
                <w:color w:val="000000"/>
                <w:sz w:val="16"/>
                <w:szCs w:val="16"/>
              </w:rPr>
            </w:pPr>
            <w:r>
              <w:rPr>
                <w:rFonts w:hint="eastAsia" w:ascii="宋体" w:hAnsi="宋体" w:cs="宋体"/>
                <w:color w:val="000000"/>
                <w:sz w:val="16"/>
                <w:szCs w:val="16"/>
              </w:rPr>
              <w:t>（10分）</w:t>
            </w:r>
          </w:p>
        </w:tc>
        <w:tc>
          <w:tcPr>
            <w:tcW w:w="88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满意度指标</w:t>
            </w:r>
          </w:p>
        </w:tc>
        <w:tc>
          <w:tcPr>
            <w:tcW w:w="2665" w:type="dxa"/>
            <w:gridSpan w:val="4"/>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监督对象的满意度（10分）</w:t>
            </w:r>
          </w:p>
        </w:tc>
        <w:tc>
          <w:tcPr>
            <w:tcW w:w="776"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≧90.0%</w:t>
            </w:r>
          </w:p>
        </w:tc>
        <w:tc>
          <w:tcPr>
            <w:tcW w:w="103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6428" w:type="dxa"/>
            <w:gridSpan w:val="10"/>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总分</w:t>
            </w:r>
          </w:p>
        </w:tc>
        <w:tc>
          <w:tcPr>
            <w:tcW w:w="1399" w:type="dxa"/>
            <w:tcBorders>
              <w:top w:val="single" w:color="auto" w:sz="4" w:space="0"/>
              <w:left w:val="nil"/>
              <w:bottom w:val="single" w:color="auto" w:sz="4" w:space="0"/>
              <w:right w:val="single" w:color="auto"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100</w:t>
            </w:r>
          </w:p>
        </w:tc>
      </w:tr>
      <w:tr>
        <w:tblPrEx>
          <w:tblLayout w:type="fixed"/>
          <w:tblCellMar>
            <w:top w:w="0" w:type="dxa"/>
            <w:left w:w="108" w:type="dxa"/>
            <w:bottom w:w="0" w:type="dxa"/>
            <w:right w:w="108" w:type="dxa"/>
          </w:tblCellMar>
        </w:tblPrEx>
        <w:trPr>
          <w:trHeight w:val="90" w:hRule="atLeast"/>
        </w:trPr>
        <w:tc>
          <w:tcPr>
            <w:tcW w:w="1233"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五、存在问题、原因及下一步整改措施</w:t>
            </w:r>
          </w:p>
        </w:tc>
        <w:tc>
          <w:tcPr>
            <w:tcW w:w="7827" w:type="dxa"/>
            <w:gridSpan w:val="11"/>
            <w:tcBorders>
              <w:top w:val="single" w:color="auto"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无</w:t>
            </w:r>
          </w:p>
        </w:tc>
      </w:tr>
    </w:tbl>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center"/>
        <w:textAlignment w:val="auto"/>
        <w:rPr>
          <w:rFonts w:hint="default" w:ascii="Times New Roman" w:eastAsia="仿宋_GB2312"/>
          <w:b w:val="0"/>
          <w:sz w:val="32"/>
          <w:szCs w:val="32"/>
          <w:lang w:val="en-US" w:eastAsia="zh-CN"/>
        </w:rPr>
      </w:pPr>
      <w:r>
        <w:drawing>
          <wp:anchor distT="0" distB="0" distL="114300" distR="114300" simplePos="0" relativeHeight="251662336" behindDoc="0" locked="0" layoutInCell="1" allowOverlap="1">
            <wp:simplePos x="0" y="0"/>
            <wp:positionH relativeFrom="column">
              <wp:posOffset>-52070</wp:posOffset>
            </wp:positionH>
            <wp:positionV relativeFrom="paragraph">
              <wp:posOffset>352425</wp:posOffset>
            </wp:positionV>
            <wp:extent cx="6137910" cy="7703185"/>
            <wp:effectExtent l="0" t="0" r="15240" b="1206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6137910" cy="7703185"/>
                    </a:xfrm>
                    <a:prstGeom prst="rect">
                      <a:avLst/>
                    </a:prstGeom>
                    <a:noFill/>
                    <a:ln>
                      <a:noFill/>
                    </a:ln>
                  </pic:spPr>
                </pic:pic>
              </a:graphicData>
            </a:graphic>
          </wp:anchor>
        </w:drawing>
      </w:r>
    </w:p>
    <w:p>
      <w:pPr>
        <w:widowControl/>
        <w:spacing w:before="0" w:beforeLines="0" w:beforeAutospacing="0" w:after="0" w:afterLines="0" w:afterAutospacing="0" w:line="360" w:lineRule="auto"/>
        <w:ind w:firstLine="640" w:firstLineChars="200"/>
        <w:jc w:val="left"/>
        <w:rPr>
          <w:rFonts w:ascii="Times New Roman" w:eastAsia="仿宋_GB2312"/>
          <w:color w:val="0000FF"/>
          <w:sz w:val="32"/>
          <w:szCs w:val="32"/>
        </w:rPr>
      </w:pPr>
      <w:r>
        <w:rPr>
          <w:rFonts w:hint="eastAsia" w:ascii="Times New Roman" w:eastAsia="仿宋_GB2312"/>
          <w:b w:val="0"/>
          <w:sz w:val="32"/>
          <w:szCs w:val="32"/>
          <w:lang w:val="en-US" w:eastAsia="zh-CN"/>
        </w:rPr>
        <w:drawing>
          <wp:inline distT="0" distB="0" distL="114300" distR="114300">
            <wp:extent cx="5546090" cy="7842250"/>
            <wp:effectExtent l="0" t="0" r="16510" b="6350"/>
            <wp:docPr id="8" name="图片 8" descr="7e642a27f6b37221d3411e08f1820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e642a27f6b37221d3411e08f1820f05"/>
                    <pic:cNvPicPr>
                      <a:picLocks noChangeAspect="1"/>
                    </pic:cNvPicPr>
                  </pic:nvPicPr>
                  <pic:blipFill>
                    <a:blip r:embed="rId22"/>
                    <a:stretch>
                      <a:fillRect/>
                    </a:stretch>
                  </pic:blipFill>
                  <pic:spPr>
                    <a:xfrm>
                      <a:off x="0" y="0"/>
                      <a:ext cx="5546090" cy="7842250"/>
                    </a:xfrm>
                    <a:prstGeom prst="rect">
                      <a:avLst/>
                    </a:prstGeom>
                  </pic:spPr>
                </pic:pic>
              </a:graphicData>
            </a:graphic>
          </wp:inline>
        </w:drawing>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第四部分名词解释</w:t>
      </w:r>
    </w:p>
    <w:p>
      <w:pPr>
        <w:rPr>
          <w:rFonts w:ascii="Times New Roman" w:eastAsia="黑体"/>
          <w:b w:val="0"/>
          <w:sz w:val="44"/>
          <w:szCs w:val="44"/>
        </w:rPr>
      </w:pPr>
      <w:r>
        <w:rPr>
          <w:rFonts w:ascii="Times New Roman" w:eastAsia="黑体"/>
          <w:b w:val="0"/>
          <w:sz w:val="44"/>
          <w:szCs w:val="44"/>
        </w:rPr>
        <w:br w:type="page"/>
      </w: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w:t>
      </w:r>
      <w:r>
        <w:rPr>
          <w:rFonts w:hint="eastAsia" w:ascii="Times New Roman" w:eastAsia="仿宋_GB2312"/>
          <w:b w:val="0"/>
          <w:sz w:val="32"/>
          <w:szCs w:val="32"/>
          <w:lang w:eastAsia="zh-CN"/>
        </w:rPr>
        <w:t>部门</w:t>
      </w:r>
      <w:r>
        <w:rPr>
          <w:rFonts w:ascii="Times New Roman" w:eastAsia="仿宋_GB2312"/>
          <w:b w:val="0"/>
          <w:sz w:val="32"/>
          <w:szCs w:val="32"/>
        </w:rPr>
        <w:t>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费、邮电费、差旅费、会议费、福利费、日常维修费、办公用房水电费、办公用房取暖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pgNumType w:fmt="decimal"/>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58DB413-8B99-4296-90FE-AFC4F5239BE8}"/>
  </w:font>
  <w:font w:name="黑体">
    <w:panose1 w:val="02010609060101010101"/>
    <w:charset w:val="86"/>
    <w:family w:val="auto"/>
    <w:pitch w:val="default"/>
    <w:sig w:usb0="800002BF" w:usb1="38CF7CFA" w:usb2="00000016" w:usb3="00000000" w:csb0="00040001" w:csb1="00000000"/>
    <w:embedRegular r:id="rId2" w:fontKey="{56C97DF2-3A16-413B-9F2E-FC008BB93F5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AADC65FD-A533-48BE-A33F-A64446DB0EB1}"/>
  </w:font>
  <w:font w:name="仿宋">
    <w:panose1 w:val="02010609060101010101"/>
    <w:charset w:val="86"/>
    <w:family w:val="modern"/>
    <w:pitch w:val="default"/>
    <w:sig w:usb0="800002BF" w:usb1="38CF7CFA" w:usb2="00000016" w:usb3="00000000" w:csb0="00040001" w:csb1="00000000"/>
    <w:embedRegular r:id="rId4" w:fontKey="{3721D9D3-6FCF-44F1-99A8-76C7BD9E92F9}"/>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仿宋_GBK">
    <w:panose1 w:val="02000000000000000000"/>
    <w:charset w:val="86"/>
    <w:family w:val="auto"/>
    <w:pitch w:val="default"/>
    <w:sig w:usb0="A00002BF" w:usb1="38CF7CFA" w:usb2="00082016" w:usb3="00000000" w:csb0="00040001" w:csb1="00000000"/>
  </w:font>
  <w:font w:name="楷体_GB2312">
    <w:panose1 w:val="02010609030101010101"/>
    <w:charset w:val="86"/>
    <w:family w:val="auto"/>
    <w:pitch w:val="default"/>
    <w:sig w:usb0="00000001" w:usb1="080E0000" w:usb2="00000000" w:usb3="00000000" w:csb0="00040000" w:csb1="00000000"/>
    <w:embedRegular r:id="rId5" w:fontKey="{AD9662C0-6922-4B2B-BB65-9B29959F9FC2}"/>
  </w:font>
  <w:font w:name="方正小标宋_GBK">
    <w:panose1 w:val="02000000000000000000"/>
    <w:charset w:val="86"/>
    <w:family w:val="script"/>
    <w:pitch w:val="default"/>
    <w:sig w:usb0="A00002BF" w:usb1="38CF7CFA" w:usb2="00082016" w:usb3="00000000" w:csb0="00040001" w:csb1="00000000"/>
    <w:embedRegular r:id="rId6" w:fontKey="{16E9D3A5-8B88-47E7-A945-58393C817032}"/>
  </w:font>
  <w:font w:name="仿宋_GB2312">
    <w:panose1 w:val="02010609030101010101"/>
    <w:charset w:val="86"/>
    <w:family w:val="auto"/>
    <w:pitch w:val="default"/>
    <w:sig w:usb0="00000001" w:usb1="080E0000" w:usb2="00000000" w:usb3="00000000" w:csb0="00040000" w:csb1="00000000"/>
    <w:embedRegular r:id="rId7" w:fontKey="{3138A64B-0D71-461A-BE55-1C685E1B6F5B}"/>
  </w:font>
  <w:font w:name="ArialUnicodeMS">
    <w:altName w:val="Malgun Gothic"/>
    <w:panose1 w:val="00000000000000000000"/>
    <w:charset w:val="81"/>
    <w:family w:val="auto"/>
    <w:pitch w:val="default"/>
    <w:sig w:usb0="00000000" w:usb1="00000000" w:usb2="00000010" w:usb3="00000000" w:csb0="00080001" w:csb1="00000000"/>
    <w:embedRegular r:id="rId8" w:fontKey="{8E5E507F-D793-4876-875E-6BAAE498AD58}"/>
  </w:font>
  <w:font w:name="方正仿宋_GB2312">
    <w:altName w:val="仿宋"/>
    <w:panose1 w:val="02000000000000000000"/>
    <w:charset w:val="86"/>
    <w:family w:val="auto"/>
    <w:pitch w:val="default"/>
    <w:sig w:usb0="00000000" w:usb1="00000000" w:usb2="00000012" w:usb3="00000000" w:csb0="00040001" w:csb1="00000000"/>
    <w:embedRegular r:id="rId9" w:fontKey="{F370F242-6B60-4B35-B8BE-EF01C4F1F8F3}"/>
  </w:font>
  <w:font w:name="国标仿宋">
    <w:altName w:val="仿宋"/>
    <w:panose1 w:val="02000500000000000000"/>
    <w:charset w:val="86"/>
    <w:family w:val="auto"/>
    <w:pitch w:val="default"/>
    <w:sig w:usb0="00000000" w:usb1="00000000" w:usb2="00000016" w:usb3="00000000" w:csb0="00060007" w:csb1="00000000"/>
    <w:embedRegular r:id="rId10" w:fontKey="{E6465E13-4FE4-42A8-8675-2EE84986980F}"/>
  </w:font>
  <w:font w:name="方正小标宋简体">
    <w:panose1 w:val="02000000000000000000"/>
    <w:charset w:val="86"/>
    <w:family w:val="auto"/>
    <w:pitch w:val="default"/>
    <w:sig w:usb0="A00002BF" w:usb1="184F6CFA" w:usb2="00000012" w:usb3="00000000" w:csb0="00040001" w:csb1="00000000"/>
    <w:embedRegular r:id="rId11" w:fontKey="{733C68F9-4EDC-4682-A08A-761FCCEBBB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3J9b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cNyfWwQIAANYFAAAOAAAAAAAA&#10;AAEAIAAAAB8BAABkcnMvZTJvRG9jLnhtbFBLBQYAAAAABgAGAFkBAABSBg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v:textbox>
            </v:shape>
          </w:pict>
        </mc:Fallback>
      </mc:AlternateConten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KQQ1tcICAADYBQAADgAAAAAA&#10;AAABACAAAAAfAQAAZHJzL2Uyb0RvYy54bWxQSwUGAAAAAAYABgBZAQAAUwYAAAAA&#10;">
              <v:fill on="f" focussize="0,0"/>
              <v:stroke on="f" weight="0.5pt"/>
              <v:imagedata o:title=""/>
              <o:lock v:ext="edit" aspectratio="f"/>
              <v:textbox inset="0mm,0mm,0mm,0mm" style="mso-fit-shape-to-text:t;">
                <w:txbxContent>
                  <w:p>
                    <w:pPr>
                      <w:pStyle w:val="8"/>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3</w:t>
                          </w:r>
                          <w:r>
                            <w:rPr>
                              <w:rFonts w:hint="eastAsia"/>
                              <w:sz w:val="28"/>
                              <w:szCs w:val="28"/>
                              <w:lang w:eastAsia="zh-CN"/>
                            </w:rPr>
                            <w:fldChar w:fldCharType="end"/>
                          </w:r>
                          <w:r>
                            <w:rPr>
                              <w:rFonts w:hint="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DBpD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JJDBpDDAgAA2AUAAA4AAAAA&#10;AAAAAQAgAAAAHwEAAGRycy9lMm9Eb2MueG1sUEsFBgAAAAAGAAYAWQEAAFQGAAAAAA==&#10;">
              <v:fill on="f" focussize="0,0"/>
              <v:stroke on="f" weight="0.5pt"/>
              <v:imagedata o:title=""/>
              <o:lock v:ext="edit" aspectratio="f"/>
              <v:textbox inset="0mm,0mm,0mm,0mm" style="mso-fit-shape-to-text:t;">
                <w:txbxContent>
                  <w:p>
                    <w:pPr>
                      <w:pStyle w:val="8"/>
                      <w:rPr>
                        <w:rFonts w:hint="eastAsia" w:eastAsiaTheme="minorEastAsia"/>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3</w:t>
                    </w:r>
                    <w:r>
                      <w:rPr>
                        <w:rFonts w:hint="eastAsia"/>
                        <w:sz w:val="28"/>
                        <w:szCs w:val="28"/>
                        <w:lang w:eastAsia="zh-CN"/>
                      </w:rPr>
                      <w:fldChar w:fldCharType="end"/>
                    </w:r>
                    <w:r>
                      <w:rPr>
                        <w:rFonts w:hint="eastAsia"/>
                        <w:sz w:val="28"/>
                        <w:szCs w:val="28"/>
                        <w:lang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41416E"/>
    <w:multiLevelType w:val="singleLevel"/>
    <w:tmpl w:val="8441416E"/>
    <w:lvl w:ilvl="0" w:tentative="0">
      <w:start w:val="1"/>
      <w:numFmt w:val="decimal"/>
      <w:lvlText w:val="%1."/>
      <w:lvlJc w:val="left"/>
      <w:pPr>
        <w:tabs>
          <w:tab w:val="left" w:pos="312"/>
        </w:tabs>
      </w:pPr>
    </w:lvl>
  </w:abstractNum>
  <w:abstractNum w:abstractNumId="1">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2"/>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386DE6"/>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C103DD"/>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1B624E"/>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0358E2"/>
    <w:rsid w:val="2D225539"/>
    <w:rsid w:val="2D4618D2"/>
    <w:rsid w:val="2D5F021B"/>
    <w:rsid w:val="2D6E1286"/>
    <w:rsid w:val="2D70583E"/>
    <w:rsid w:val="2DC94F2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38582F"/>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3FD3831"/>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B80A66"/>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2">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2"/>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部门职责文件"/>
    <w:basedOn w:val="1"/>
    <w:qFormat/>
    <w:uiPriority w:val="0"/>
    <w:pPr>
      <w:spacing w:before="0" w:beforeAutospacing="0" w:after="0" w:afterAutospacing="0" w:line="500" w:lineRule="exact"/>
      <w:ind w:firstLine="560"/>
      <w:jc w:val="left"/>
    </w:pPr>
    <w:rPr>
      <w:rFonts w:hint="default" w:ascii="Times New Roman" w:hAnsi="Times New Roman" w:eastAsia="方正仿宋_GBK" w:cs="Times New Roman"/>
      <w:kern w:val="0"/>
      <w:sz w:val="28"/>
      <w:szCs w:val="28"/>
      <w:lang w:val="en-US" w:eastAsia="zh-CN" w:bidi="ar"/>
    </w:rPr>
  </w:style>
  <w:style w:type="character" w:customStyle="1" w:styleId="26">
    <w:name w:val="font61"/>
    <w:basedOn w:val="13"/>
    <w:qFormat/>
    <w:uiPriority w:val="0"/>
    <w:rPr>
      <w:rFonts w:ascii="Calibri" w:hAnsi="Calibri" w:cs="Calibri"/>
      <w:color w:val="000000"/>
      <w:sz w:val="20"/>
      <w:szCs w:val="20"/>
      <w:u w:val="none"/>
    </w:rPr>
  </w:style>
  <w:style w:type="character" w:customStyle="1" w:styleId="27">
    <w:name w:val="font81"/>
    <w:basedOn w:val="13"/>
    <w:qFormat/>
    <w:uiPriority w:val="0"/>
    <w:rPr>
      <w:rFonts w:hint="eastAsia" w:ascii="宋体" w:hAnsi="宋体" w:eastAsia="宋体" w:cs="宋体"/>
      <w:color w:val="000000"/>
      <w:sz w:val="20"/>
      <w:szCs w:val="20"/>
      <w:u w:val="none"/>
    </w:rPr>
  </w:style>
  <w:style w:type="character" w:customStyle="1" w:styleId="28">
    <w:name w:val="font71"/>
    <w:basedOn w:val="1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737384.62</c:v>
                </c:pt>
                <c:pt idx="1">
                  <c:v>1246846.75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12389385291.65</c:v>
                </c:pt>
                <c:pt idx="1">
                  <c:v>0</c:v>
                </c:pt>
                <c:pt idx="2">
                  <c:v>0</c:v>
                </c:pt>
                <c:pt idx="3">
                  <c:v>0</c:v>
                </c:pt>
                <c:pt idx="4">
                  <c:v>0</c:v>
                </c:pt>
                <c:pt idx="5">
                  <c:v>26356282.8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153682245.34</c:v>
                </c:pt>
                <c:pt idx="1">
                  <c:v>12276292019.16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725683.23</c:v>
                </c:pt>
                <c:pt idx="1">
                  <c:v>730509.77</c:v>
                </c:pt>
                <c:pt idx="2">
                  <c:v>181281.38</c:v>
                </c:pt>
                <c:pt idx="3">
                  <c:v>186107.93</c:v>
                </c:pt>
                <c:pt idx="4">
                  <c:v>544401.84</c:v>
                </c:pt>
                <c:pt idx="5">
                  <c:v>544401.84</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1238938.53</c:v>
                </c:pt>
                <c:pt idx="1">
                  <c:v>1240361.8</c:v>
                </c:pt>
                <c:pt idx="2">
                  <c:v>184843.29</c:v>
                </c:pt>
                <c:pt idx="3">
                  <c:v>186266.56</c:v>
                </c:pt>
                <c:pt idx="4">
                  <c:v>1054095.23</c:v>
                </c:pt>
                <c:pt idx="5">
                  <c:v>1054095.23</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415410.26</c:v>
                </c:pt>
                <c:pt idx="1">
                  <c:v>417366.24</c:v>
                </c:pt>
                <c:pt idx="2">
                  <c:v>192600.49</c:v>
                </c:pt>
                <c:pt idx="3">
                  <c:v>194556.47</c:v>
                </c:pt>
                <c:pt idx="4">
                  <c:v>222809.77</c:v>
                </c:pt>
                <c:pt idx="5">
                  <c:v>222809.77</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1238938.53</c:v>
                </c:pt>
                <c:pt idx="1">
                  <c:v>1240361.8</c:v>
                </c:pt>
                <c:pt idx="2">
                  <c:v>184843.29</c:v>
                </c:pt>
                <c:pt idx="3">
                  <c:v>186266.56</c:v>
                </c:pt>
                <c:pt idx="4">
                  <c:v>1054095.23</c:v>
                </c:pt>
                <c:pt idx="5">
                  <c:v>1054095.23</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25</Pages>
  <Words>611</Words>
  <Characters>2169</Characters>
  <Lines>86</Lines>
  <Paragraphs>24</Paragraphs>
  <TotalTime>2</TotalTime>
  <ScaleCrop>false</ScaleCrop>
  <LinksUpToDate>false</LinksUpToDate>
  <CharactersWithSpaces>2170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lenovo</cp:lastModifiedBy>
  <cp:lastPrinted>2023-08-04T01:00:00Z</cp:lastPrinted>
  <dcterms:modified xsi:type="dcterms:W3CDTF">2025-09-17T07:32:29Z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